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6B92D81">
      <w:pPr>
        <w:pStyle w:val="12"/>
        <w:spacing w:line="360" w:lineRule="auto"/>
        <w:rPr>
          <w:rFonts w:ascii="黑体" w:hAnsi="黑体" w:eastAsia="黑体" w:cs="黑体"/>
          <w:b/>
          <w:bCs/>
          <w:color w:val="auto"/>
          <w:spacing w:val="80"/>
          <w:sz w:val="51"/>
          <w:szCs w:val="51"/>
          <w:highlight w:val="none"/>
          <w:u w:val="double"/>
        </w:rPr>
      </w:pPr>
      <w:r>
        <w:rPr>
          <w:rFonts w:hint="eastAsia"/>
          <w:color w:val="auto"/>
          <w:highlight w:val="none"/>
          <w:lang w:eastAsia="zh-CN"/>
        </w:rPr>
        <w:drawing>
          <wp:inline distT="0" distB="0" distL="114300" distR="114300">
            <wp:extent cx="6132195" cy="1185545"/>
            <wp:effectExtent l="0" t="0" r="0" b="0"/>
            <wp:docPr id="10" name="图片 2" descr="5088e8d61e70fe191ab3dcfcf6444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5088e8d61e70fe191ab3dcfcf6444df"/>
                    <pic:cNvPicPr>
                      <a:picLocks noChangeAspect="1"/>
                    </pic:cNvPicPr>
                  </pic:nvPicPr>
                  <pic:blipFill>
                    <a:blip r:embed="rId15"/>
                    <a:stretch>
                      <a:fillRect/>
                    </a:stretch>
                  </pic:blipFill>
                  <pic:spPr>
                    <a:xfrm>
                      <a:off x="0" y="0"/>
                      <a:ext cx="6132195" cy="1185545"/>
                    </a:xfrm>
                    <a:prstGeom prst="rect">
                      <a:avLst/>
                    </a:prstGeom>
                    <a:noFill/>
                    <a:ln>
                      <a:noFill/>
                    </a:ln>
                  </pic:spPr>
                </pic:pic>
              </a:graphicData>
            </a:graphic>
          </wp:inline>
        </w:drawing>
      </w:r>
    </w:p>
    <w:p w14:paraId="4913963D">
      <w:pPr>
        <w:autoSpaceDE w:val="0"/>
        <w:autoSpaceDN w:val="0"/>
        <w:adjustRightInd w:val="0"/>
        <w:spacing w:line="360" w:lineRule="auto"/>
        <w:jc w:val="center"/>
        <w:rPr>
          <w:rFonts w:ascii="宋体" w:cs="宋体"/>
          <w:color w:val="auto"/>
          <w:kern w:val="0"/>
          <w:sz w:val="56"/>
          <w:highlight w:val="none"/>
        </w:rPr>
      </w:pPr>
      <w:r>
        <w:rPr>
          <w:rFonts w:hint="eastAsia" w:ascii="宋体" w:hAnsi="宋体" w:cs="宋体"/>
          <w:bCs/>
          <w:color w:val="auto"/>
          <w:sz w:val="48"/>
          <w:szCs w:val="48"/>
          <w:highlight w:val="none"/>
        </w:rPr>
        <w:t xml:space="preserve"> </w:t>
      </w:r>
    </w:p>
    <w:p w14:paraId="0F777CFA">
      <w:pPr>
        <w:autoSpaceDE w:val="0"/>
        <w:autoSpaceDN w:val="0"/>
        <w:adjustRightInd w:val="0"/>
        <w:spacing w:line="360" w:lineRule="auto"/>
        <w:jc w:val="center"/>
        <w:rPr>
          <w:rFonts w:ascii="宋体" w:cs="宋体"/>
          <w:color w:val="auto"/>
          <w:kern w:val="0"/>
          <w:sz w:val="56"/>
          <w:highlight w:val="none"/>
        </w:rPr>
      </w:pPr>
    </w:p>
    <w:p w14:paraId="76023BFD">
      <w:pPr>
        <w:pStyle w:val="30"/>
        <w:ind w:firstLine="2042"/>
        <w:rPr>
          <w:rFonts w:ascii="宋体" w:cs="宋体"/>
          <w:color w:val="auto"/>
          <w:sz w:val="56"/>
          <w:szCs w:val="24"/>
          <w:highlight w:val="none"/>
        </w:rPr>
      </w:pPr>
    </w:p>
    <w:p w14:paraId="4EC44974">
      <w:pPr>
        <w:autoSpaceDE w:val="0"/>
        <w:autoSpaceDN w:val="0"/>
        <w:adjustRightInd w:val="0"/>
        <w:spacing w:line="360" w:lineRule="auto"/>
        <w:jc w:val="center"/>
        <w:rPr>
          <w:rFonts w:ascii="宋体" w:cs="宋体"/>
          <w:color w:val="auto"/>
          <w:kern w:val="0"/>
          <w:sz w:val="56"/>
          <w:highlight w:val="none"/>
        </w:rPr>
      </w:pPr>
    </w:p>
    <w:p w14:paraId="5B42BA62">
      <w:pPr>
        <w:autoSpaceDE w:val="0"/>
        <w:autoSpaceDN w:val="0"/>
        <w:adjustRightInd w:val="0"/>
        <w:spacing w:line="360" w:lineRule="auto"/>
        <w:jc w:val="center"/>
        <w:rPr>
          <w:rFonts w:ascii="宋体" w:hAnsi="宋体" w:cs="宋体"/>
          <w:b/>
          <w:color w:val="auto"/>
          <w:kern w:val="0"/>
          <w:sz w:val="76"/>
          <w:szCs w:val="76"/>
          <w:highlight w:val="none"/>
        </w:rPr>
      </w:pPr>
      <w:r>
        <w:rPr>
          <w:rFonts w:hint="eastAsia" w:ascii="宋体" w:hAnsi="宋体" w:cs="宋体"/>
          <w:b/>
          <w:color w:val="auto"/>
          <w:kern w:val="0"/>
          <w:sz w:val="76"/>
          <w:szCs w:val="76"/>
          <w:highlight w:val="none"/>
        </w:rPr>
        <w:t>竞争性磋商采购文件</w:t>
      </w:r>
    </w:p>
    <w:p w14:paraId="29F53A3D">
      <w:pPr>
        <w:pStyle w:val="30"/>
        <w:ind w:firstLine="915"/>
        <w:rPr>
          <w:color w:val="auto"/>
          <w:highlight w:val="none"/>
        </w:rPr>
      </w:pPr>
    </w:p>
    <w:p w14:paraId="36BDC9D5">
      <w:pPr>
        <w:ind w:firstLine="1400" w:firstLineChars="500"/>
        <w:rPr>
          <w:rFonts w:hint="eastAsia"/>
          <w:color w:val="auto"/>
          <w:sz w:val="28"/>
          <w:szCs w:val="28"/>
          <w:highlight w:val="none"/>
          <w:lang w:eastAsia="zh-CN"/>
        </w:rPr>
      </w:pPr>
      <w:r>
        <w:rPr>
          <w:rFonts w:hint="eastAsia"/>
          <w:color w:val="auto"/>
          <w:sz w:val="28"/>
          <w:szCs w:val="28"/>
          <w:highlight w:val="none"/>
        </w:rPr>
        <w:t>项目名称：</w:t>
      </w:r>
      <w:r>
        <w:rPr>
          <w:rFonts w:hint="eastAsia"/>
          <w:color w:val="auto"/>
          <w:sz w:val="28"/>
          <w:szCs w:val="28"/>
          <w:highlight w:val="none"/>
          <w:lang w:eastAsia="zh-CN"/>
        </w:rPr>
        <w:t>中泰崇左产业园棚户区改造项目A区、B区、C区等</w:t>
      </w:r>
    </w:p>
    <w:p w14:paraId="3FC7FA92">
      <w:pPr>
        <w:ind w:firstLine="2800" w:firstLineChars="1000"/>
        <w:rPr>
          <w:rFonts w:hint="default" w:eastAsia="宋体"/>
          <w:color w:val="auto"/>
          <w:sz w:val="28"/>
          <w:szCs w:val="28"/>
          <w:highlight w:val="none"/>
          <w:lang w:eastAsia="zh-CN"/>
        </w:rPr>
      </w:pPr>
      <w:r>
        <w:rPr>
          <w:rFonts w:hint="eastAsia"/>
          <w:color w:val="auto"/>
          <w:sz w:val="28"/>
          <w:szCs w:val="28"/>
          <w:highlight w:val="none"/>
          <w:lang w:eastAsia="zh-CN"/>
        </w:rPr>
        <w:t>物业管理服务</w:t>
      </w:r>
    </w:p>
    <w:p w14:paraId="75E486A8">
      <w:pPr>
        <w:ind w:firstLine="1400" w:firstLineChars="500"/>
        <w:rPr>
          <w:rFonts w:hint="eastAsia" w:eastAsia="宋体"/>
          <w:color w:val="auto"/>
          <w:sz w:val="28"/>
          <w:szCs w:val="28"/>
          <w:highlight w:val="none"/>
          <w:lang w:eastAsia="zh-CN"/>
        </w:rPr>
      </w:pPr>
      <w:r>
        <w:rPr>
          <w:rFonts w:hint="eastAsia"/>
          <w:color w:val="auto"/>
          <w:sz w:val="28"/>
          <w:szCs w:val="28"/>
          <w:highlight w:val="none"/>
        </w:rPr>
        <w:t>项目编号：</w:t>
      </w:r>
      <w:r>
        <w:rPr>
          <w:rFonts w:hint="eastAsia"/>
          <w:color w:val="auto"/>
          <w:sz w:val="28"/>
          <w:szCs w:val="28"/>
          <w:highlight w:val="none"/>
          <w:lang w:eastAsia="zh-CN"/>
        </w:rPr>
        <w:t>CZ2025-C3-009-GXCS</w:t>
      </w:r>
    </w:p>
    <w:p w14:paraId="5B0ED025">
      <w:pPr>
        <w:rPr>
          <w:b/>
          <w:bCs/>
          <w:color w:val="auto"/>
          <w:sz w:val="26"/>
          <w:szCs w:val="26"/>
          <w:highlight w:val="none"/>
        </w:rPr>
      </w:pPr>
    </w:p>
    <w:p w14:paraId="6253F1AF">
      <w:pPr>
        <w:pStyle w:val="30"/>
        <w:ind w:firstLine="915"/>
        <w:rPr>
          <w:rFonts w:ascii="宋体" w:cs="宋体"/>
          <w:color w:val="auto"/>
          <w:highlight w:val="none"/>
        </w:rPr>
      </w:pPr>
    </w:p>
    <w:p w14:paraId="496BA309">
      <w:pPr>
        <w:pStyle w:val="30"/>
        <w:ind w:firstLine="915"/>
        <w:rPr>
          <w:rFonts w:ascii="宋体" w:cs="宋体"/>
          <w:color w:val="auto"/>
          <w:highlight w:val="none"/>
        </w:rPr>
      </w:pPr>
    </w:p>
    <w:p w14:paraId="415A6FA7">
      <w:pPr>
        <w:pStyle w:val="30"/>
        <w:ind w:firstLine="915"/>
        <w:rPr>
          <w:rFonts w:ascii="宋体" w:cs="宋体"/>
          <w:color w:val="auto"/>
          <w:highlight w:val="none"/>
        </w:rPr>
      </w:pPr>
    </w:p>
    <w:p w14:paraId="457A3C46">
      <w:pPr>
        <w:pStyle w:val="30"/>
        <w:ind w:firstLine="915"/>
        <w:rPr>
          <w:rFonts w:ascii="宋体" w:cs="宋体"/>
          <w:color w:val="auto"/>
          <w:highlight w:val="none"/>
        </w:rPr>
      </w:pPr>
    </w:p>
    <w:p w14:paraId="7D6724C4">
      <w:pPr>
        <w:pStyle w:val="30"/>
        <w:ind w:firstLine="915"/>
        <w:rPr>
          <w:rFonts w:ascii="宋体" w:cs="宋体"/>
          <w:color w:val="auto"/>
          <w:highlight w:val="none"/>
        </w:rPr>
      </w:pPr>
    </w:p>
    <w:p w14:paraId="78FA5D26">
      <w:pPr>
        <w:pStyle w:val="30"/>
        <w:ind w:firstLine="915"/>
        <w:rPr>
          <w:rFonts w:ascii="宋体" w:cs="宋体"/>
          <w:color w:val="auto"/>
          <w:highlight w:val="none"/>
        </w:rPr>
      </w:pPr>
    </w:p>
    <w:p w14:paraId="37D47503">
      <w:pPr>
        <w:pStyle w:val="30"/>
        <w:ind w:firstLine="915"/>
        <w:rPr>
          <w:rFonts w:ascii="宋体" w:cs="宋体"/>
          <w:color w:val="auto"/>
          <w:highlight w:val="none"/>
        </w:rPr>
      </w:pPr>
    </w:p>
    <w:p w14:paraId="6C99D7D1">
      <w:pPr>
        <w:pStyle w:val="30"/>
        <w:ind w:firstLine="1338"/>
        <w:rPr>
          <w:rFonts w:ascii="宋体" w:cs="宋体"/>
          <w:color w:val="auto"/>
          <w:sz w:val="36"/>
          <w:szCs w:val="24"/>
          <w:highlight w:val="none"/>
        </w:rPr>
      </w:pPr>
    </w:p>
    <w:p w14:paraId="64F9640F">
      <w:pPr>
        <w:autoSpaceDE w:val="0"/>
        <w:autoSpaceDN w:val="0"/>
        <w:adjustRightInd w:val="0"/>
        <w:spacing w:line="600" w:lineRule="auto"/>
        <w:ind w:firstLine="1928" w:firstLineChars="600"/>
        <w:outlineLvl w:val="0"/>
        <w:rPr>
          <w:rFonts w:hint="eastAsia" w:ascii="宋体" w:hAnsi="宋体" w:eastAsia="宋体" w:cs="宋体"/>
          <w:b/>
          <w:color w:val="auto"/>
          <w:kern w:val="0"/>
          <w:sz w:val="32"/>
          <w:szCs w:val="21"/>
          <w:highlight w:val="none"/>
          <w:lang w:eastAsia="zh-CN"/>
        </w:rPr>
      </w:pPr>
      <w:bookmarkStart w:id="0" w:name="_Toc12037"/>
      <w:bookmarkStart w:id="1" w:name="_Toc26295"/>
      <w:r>
        <w:rPr>
          <w:rFonts w:hint="eastAsia" w:ascii="宋体" w:hAnsi="宋体" w:cs="宋体"/>
          <w:b/>
          <w:color w:val="auto"/>
          <w:kern w:val="0"/>
          <w:sz w:val="32"/>
          <w:szCs w:val="21"/>
          <w:highlight w:val="none"/>
        </w:rPr>
        <w:t>采购单位：</w:t>
      </w:r>
      <w:bookmarkEnd w:id="0"/>
      <w:bookmarkEnd w:id="1"/>
      <w:bookmarkStart w:id="2" w:name="_Toc243584221"/>
      <w:bookmarkStart w:id="3" w:name="_Toc16744"/>
      <w:bookmarkStart w:id="4" w:name="_Toc3539"/>
      <w:bookmarkStart w:id="5" w:name="_Toc8476"/>
      <w:r>
        <w:rPr>
          <w:rFonts w:hint="eastAsia" w:ascii="宋体" w:hAnsi="宋体" w:cs="宋体"/>
          <w:b/>
          <w:color w:val="auto"/>
          <w:kern w:val="0"/>
          <w:sz w:val="32"/>
          <w:szCs w:val="21"/>
          <w:highlight w:val="none"/>
          <w:lang w:eastAsia="zh-CN"/>
        </w:rPr>
        <w:t xml:space="preserve">广西中泰象郡建设投资有限公司 </w:t>
      </w:r>
    </w:p>
    <w:p w14:paraId="4E808C75">
      <w:pPr>
        <w:autoSpaceDE w:val="0"/>
        <w:autoSpaceDN w:val="0"/>
        <w:adjustRightInd w:val="0"/>
        <w:spacing w:line="600" w:lineRule="auto"/>
        <w:jc w:val="center"/>
        <w:outlineLvl w:val="0"/>
        <w:rPr>
          <w:rFonts w:hint="eastAsia" w:ascii="宋体" w:hAnsi="宋体" w:eastAsia="宋体" w:cs="宋体"/>
          <w:b/>
          <w:color w:val="auto"/>
          <w:kern w:val="0"/>
          <w:sz w:val="32"/>
          <w:szCs w:val="21"/>
          <w:highlight w:val="none"/>
          <w:lang w:eastAsia="zh-CN"/>
        </w:rPr>
      </w:pPr>
      <w:bookmarkStart w:id="6" w:name="_Toc9499"/>
      <w:bookmarkStart w:id="7" w:name="_Toc8927"/>
      <w:r>
        <w:rPr>
          <w:rFonts w:hint="eastAsia" w:ascii="宋体" w:hAnsi="宋体" w:cs="宋体"/>
          <w:b/>
          <w:color w:val="auto"/>
          <w:kern w:val="0"/>
          <w:sz w:val="32"/>
          <w:szCs w:val="21"/>
          <w:highlight w:val="none"/>
        </w:rPr>
        <w:t>采购代理机构：</w:t>
      </w:r>
      <w:bookmarkEnd w:id="2"/>
      <w:bookmarkEnd w:id="3"/>
      <w:bookmarkEnd w:id="4"/>
      <w:bookmarkEnd w:id="5"/>
      <w:bookmarkEnd w:id="6"/>
      <w:bookmarkEnd w:id="7"/>
      <w:bookmarkStart w:id="8" w:name="_Toc11097"/>
      <w:bookmarkStart w:id="9" w:name="_Toc21242"/>
      <w:bookmarkStart w:id="10" w:name="_Toc17217"/>
      <w:bookmarkStart w:id="11" w:name="_Toc8778"/>
      <w:r>
        <w:rPr>
          <w:rFonts w:hint="eastAsia" w:ascii="宋体" w:hAnsi="宋体" w:cs="宋体"/>
          <w:b/>
          <w:color w:val="auto"/>
          <w:kern w:val="0"/>
          <w:sz w:val="32"/>
          <w:szCs w:val="21"/>
          <w:highlight w:val="none"/>
          <w:lang w:eastAsia="zh-CN"/>
        </w:rPr>
        <w:t>广西崇善项目咨询有限公司</w:t>
      </w:r>
    </w:p>
    <w:bookmarkEnd w:id="8"/>
    <w:bookmarkEnd w:id="9"/>
    <w:bookmarkEnd w:id="10"/>
    <w:bookmarkEnd w:id="11"/>
    <w:p w14:paraId="1F8CDB50">
      <w:pPr>
        <w:autoSpaceDE w:val="0"/>
        <w:autoSpaceDN w:val="0"/>
        <w:adjustRightInd w:val="0"/>
        <w:spacing w:line="600" w:lineRule="auto"/>
        <w:jc w:val="center"/>
        <w:outlineLvl w:val="0"/>
        <w:rPr>
          <w:rFonts w:hint="eastAsia" w:ascii="宋体" w:eastAsia="宋体" w:cs="宋体"/>
          <w:b/>
          <w:color w:val="auto"/>
          <w:kern w:val="0"/>
          <w:sz w:val="32"/>
          <w:szCs w:val="21"/>
          <w:highlight w:val="none"/>
          <w:lang w:eastAsia="zh-CN"/>
        </w:rPr>
        <w:sectPr>
          <w:headerReference r:id="rId4" w:type="first"/>
          <w:footerReference r:id="rId7" w:type="first"/>
          <w:headerReference r:id="rId3" w:type="default"/>
          <w:footerReference r:id="rId5" w:type="default"/>
          <w:footerReference r:id="rId6" w:type="even"/>
          <w:endnotePr>
            <w:numFmt w:val="decimal"/>
          </w:endnotePr>
          <w:pgSz w:w="11906" w:h="16838"/>
          <w:pgMar w:top="1134" w:right="828" w:bottom="1134" w:left="998" w:header="397" w:footer="680" w:gutter="0"/>
          <w:paperSrc w:first="7" w:other="7"/>
          <w:pgNumType w:start="0"/>
          <w:cols w:space="720" w:num="1"/>
          <w:titlePg/>
          <w:docGrid w:type="lines" w:linePitch="312" w:charSpace="0"/>
        </w:sectPr>
      </w:pPr>
      <w:bookmarkStart w:id="12" w:name="_Toc22100"/>
      <w:r>
        <w:rPr>
          <w:rFonts w:hint="eastAsia" w:ascii="宋体" w:hAnsi="宋体" w:cs="宋体"/>
          <w:b/>
          <w:color w:val="auto"/>
          <w:kern w:val="0"/>
          <w:sz w:val="32"/>
          <w:szCs w:val="21"/>
          <w:highlight w:val="none"/>
          <w:lang w:eastAsia="zh-CN"/>
        </w:rPr>
        <w:t>2025年</w:t>
      </w:r>
      <w:bookmarkEnd w:id="12"/>
      <w:r>
        <w:rPr>
          <w:rFonts w:hint="eastAsia" w:ascii="宋体" w:hAnsi="宋体" w:cs="宋体"/>
          <w:b/>
          <w:color w:val="auto"/>
          <w:kern w:val="0"/>
          <w:sz w:val="32"/>
          <w:szCs w:val="21"/>
          <w:highlight w:val="none"/>
          <w:lang w:eastAsia="zh-CN"/>
        </w:rPr>
        <w:t>6月</w:t>
      </w:r>
    </w:p>
    <w:p w14:paraId="77FC107D">
      <w:pPr>
        <w:spacing w:line="360" w:lineRule="auto"/>
        <w:jc w:val="center"/>
        <w:rPr>
          <w:rFonts w:ascii="宋体" w:hAnsi="宋体"/>
          <w:b/>
          <w:color w:val="auto"/>
          <w:sz w:val="44"/>
          <w:szCs w:val="44"/>
          <w:highlight w:val="none"/>
        </w:rPr>
      </w:pPr>
      <w:r>
        <w:rPr>
          <w:rFonts w:hint="eastAsia" w:ascii="宋体" w:hAnsi="宋体"/>
          <w:b/>
          <w:color w:val="auto"/>
          <w:sz w:val="44"/>
          <w:szCs w:val="44"/>
          <w:highlight w:val="none"/>
        </w:rPr>
        <w:t>目   录</w:t>
      </w:r>
    </w:p>
    <w:p w14:paraId="433EB9FA">
      <w:pPr>
        <w:pStyle w:val="15"/>
        <w:tabs>
          <w:tab w:val="right" w:leader="dot" w:pos="8879"/>
          <w:tab w:val="clear" w:pos="9060"/>
        </w:tabs>
        <w:rPr>
          <w:color w:val="auto"/>
          <w:highlight w:val="none"/>
        </w:rPr>
      </w:pPr>
      <w:r>
        <w:rPr>
          <w:rFonts w:ascii="宋体" w:hAnsi="宋体"/>
          <w:b/>
          <w:color w:val="auto"/>
          <w:sz w:val="30"/>
          <w:szCs w:val="30"/>
          <w:highlight w:val="none"/>
        </w:rPr>
        <w:fldChar w:fldCharType="begin"/>
      </w:r>
      <w:r>
        <w:rPr>
          <w:rFonts w:ascii="宋体" w:hAnsi="宋体"/>
          <w:b/>
          <w:color w:val="auto"/>
          <w:sz w:val="30"/>
          <w:szCs w:val="30"/>
          <w:highlight w:val="none"/>
        </w:rPr>
        <w:instrText xml:space="preserve"> </w:instrText>
      </w:r>
      <w:r>
        <w:rPr>
          <w:rFonts w:hint="eastAsia" w:ascii="宋体" w:hAnsi="宋体"/>
          <w:b/>
          <w:color w:val="auto"/>
          <w:sz w:val="30"/>
          <w:szCs w:val="30"/>
          <w:highlight w:val="none"/>
        </w:rPr>
        <w:instrText xml:space="preserve">TOC \o "1-3" \h \z \u</w:instrText>
      </w:r>
      <w:r>
        <w:rPr>
          <w:rFonts w:ascii="宋体" w:hAnsi="宋体"/>
          <w:b/>
          <w:color w:val="auto"/>
          <w:sz w:val="30"/>
          <w:szCs w:val="30"/>
          <w:highlight w:val="none"/>
        </w:rPr>
        <w:instrText xml:space="preserve"> </w:instrText>
      </w:r>
      <w:r>
        <w:rPr>
          <w:rFonts w:ascii="宋体" w:hAnsi="宋体"/>
          <w:b/>
          <w:color w:val="auto"/>
          <w:sz w:val="30"/>
          <w:szCs w:val="30"/>
          <w:highlight w:val="none"/>
        </w:rPr>
        <w:fldChar w:fldCharType="separate"/>
      </w:r>
    </w:p>
    <w:p w14:paraId="69EC0BD3">
      <w:pPr>
        <w:pStyle w:val="16"/>
        <w:tabs>
          <w:tab w:val="right" w:leader="dot" w:pos="8879"/>
          <w:tab w:val="clear" w:pos="8296"/>
        </w:tabs>
        <w:spacing w:line="480" w:lineRule="auto"/>
        <w:rPr>
          <w:color w:val="auto"/>
          <w:sz w:val="24"/>
          <w:szCs w:val="32"/>
          <w:highlight w:val="none"/>
        </w:rPr>
      </w:pPr>
      <w:r>
        <w:rPr>
          <w:rFonts w:ascii="宋体" w:hAnsi="宋体"/>
          <w:color w:val="auto"/>
          <w:sz w:val="24"/>
          <w:szCs w:val="36"/>
          <w:highlight w:val="none"/>
        </w:rPr>
        <w:fldChar w:fldCharType="begin"/>
      </w:r>
      <w:r>
        <w:rPr>
          <w:rFonts w:ascii="宋体" w:hAnsi="宋体"/>
          <w:color w:val="auto"/>
          <w:sz w:val="24"/>
          <w:szCs w:val="36"/>
          <w:highlight w:val="none"/>
        </w:rPr>
        <w:instrText xml:space="preserve"> HYPERLINK \l _Toc31321 </w:instrText>
      </w:r>
      <w:r>
        <w:rPr>
          <w:rFonts w:ascii="宋体" w:hAnsi="宋体"/>
          <w:color w:val="auto"/>
          <w:sz w:val="24"/>
          <w:szCs w:val="36"/>
          <w:highlight w:val="none"/>
        </w:rPr>
        <w:fldChar w:fldCharType="separate"/>
      </w:r>
      <w:r>
        <w:rPr>
          <w:rFonts w:hint="eastAsia"/>
          <w:color w:val="auto"/>
          <w:sz w:val="24"/>
          <w:szCs w:val="32"/>
          <w:highlight w:val="none"/>
        </w:rPr>
        <w:t>第一章 竞争性磋商公告</w:t>
      </w:r>
      <w:r>
        <w:rPr>
          <w:color w:val="auto"/>
          <w:sz w:val="24"/>
          <w:szCs w:val="32"/>
          <w:highlight w:val="none"/>
        </w:rPr>
        <w:tab/>
      </w:r>
      <w:r>
        <w:rPr>
          <w:color w:val="auto"/>
          <w:sz w:val="24"/>
          <w:szCs w:val="32"/>
          <w:highlight w:val="none"/>
        </w:rPr>
        <w:fldChar w:fldCharType="begin"/>
      </w:r>
      <w:r>
        <w:rPr>
          <w:color w:val="auto"/>
          <w:sz w:val="24"/>
          <w:szCs w:val="32"/>
          <w:highlight w:val="none"/>
        </w:rPr>
        <w:instrText xml:space="preserve"> PAGEREF _Toc31321 \h </w:instrText>
      </w:r>
      <w:r>
        <w:rPr>
          <w:color w:val="auto"/>
          <w:sz w:val="24"/>
          <w:szCs w:val="32"/>
          <w:highlight w:val="none"/>
        </w:rPr>
        <w:fldChar w:fldCharType="separate"/>
      </w:r>
      <w:r>
        <w:rPr>
          <w:color w:val="auto"/>
          <w:sz w:val="24"/>
          <w:szCs w:val="32"/>
          <w:highlight w:val="none"/>
        </w:rPr>
        <w:t>1</w:t>
      </w:r>
      <w:r>
        <w:rPr>
          <w:color w:val="auto"/>
          <w:sz w:val="24"/>
          <w:szCs w:val="32"/>
          <w:highlight w:val="none"/>
        </w:rPr>
        <w:fldChar w:fldCharType="end"/>
      </w:r>
      <w:r>
        <w:rPr>
          <w:rFonts w:ascii="宋体" w:hAnsi="宋体"/>
          <w:color w:val="auto"/>
          <w:sz w:val="24"/>
          <w:szCs w:val="36"/>
          <w:highlight w:val="none"/>
        </w:rPr>
        <w:fldChar w:fldCharType="end"/>
      </w:r>
    </w:p>
    <w:p w14:paraId="7FFEAED5">
      <w:pPr>
        <w:pStyle w:val="16"/>
        <w:tabs>
          <w:tab w:val="right" w:leader="dot" w:pos="8879"/>
          <w:tab w:val="clear" w:pos="8296"/>
        </w:tabs>
        <w:spacing w:line="480" w:lineRule="auto"/>
        <w:rPr>
          <w:color w:val="auto"/>
          <w:sz w:val="24"/>
          <w:szCs w:val="32"/>
          <w:highlight w:val="none"/>
        </w:rPr>
      </w:pPr>
      <w:r>
        <w:rPr>
          <w:rFonts w:ascii="宋体" w:hAnsi="宋体"/>
          <w:color w:val="auto"/>
          <w:sz w:val="24"/>
          <w:szCs w:val="36"/>
          <w:highlight w:val="none"/>
        </w:rPr>
        <w:fldChar w:fldCharType="begin"/>
      </w:r>
      <w:r>
        <w:rPr>
          <w:rFonts w:ascii="宋体" w:hAnsi="宋体"/>
          <w:color w:val="auto"/>
          <w:sz w:val="24"/>
          <w:szCs w:val="36"/>
          <w:highlight w:val="none"/>
        </w:rPr>
        <w:instrText xml:space="preserve"> HYPERLINK \l _Toc15981 </w:instrText>
      </w:r>
      <w:r>
        <w:rPr>
          <w:rFonts w:ascii="宋体" w:hAnsi="宋体"/>
          <w:color w:val="auto"/>
          <w:sz w:val="24"/>
          <w:szCs w:val="36"/>
          <w:highlight w:val="none"/>
        </w:rPr>
        <w:fldChar w:fldCharType="separate"/>
      </w:r>
      <w:r>
        <w:rPr>
          <w:rFonts w:hint="eastAsia"/>
          <w:color w:val="auto"/>
          <w:sz w:val="24"/>
          <w:szCs w:val="32"/>
          <w:highlight w:val="none"/>
        </w:rPr>
        <w:t>第二章 供应商须知</w:t>
      </w:r>
      <w:r>
        <w:rPr>
          <w:color w:val="auto"/>
          <w:sz w:val="24"/>
          <w:szCs w:val="32"/>
          <w:highlight w:val="none"/>
        </w:rPr>
        <w:tab/>
      </w:r>
      <w:r>
        <w:rPr>
          <w:color w:val="auto"/>
          <w:sz w:val="24"/>
          <w:szCs w:val="32"/>
          <w:highlight w:val="none"/>
        </w:rPr>
        <w:fldChar w:fldCharType="begin"/>
      </w:r>
      <w:r>
        <w:rPr>
          <w:color w:val="auto"/>
          <w:sz w:val="24"/>
          <w:szCs w:val="32"/>
          <w:highlight w:val="none"/>
        </w:rPr>
        <w:instrText xml:space="preserve"> PAGEREF _Toc15981 \h </w:instrText>
      </w:r>
      <w:r>
        <w:rPr>
          <w:color w:val="auto"/>
          <w:sz w:val="24"/>
          <w:szCs w:val="32"/>
          <w:highlight w:val="none"/>
        </w:rPr>
        <w:fldChar w:fldCharType="separate"/>
      </w:r>
      <w:r>
        <w:rPr>
          <w:color w:val="auto"/>
          <w:sz w:val="24"/>
          <w:szCs w:val="32"/>
          <w:highlight w:val="none"/>
        </w:rPr>
        <w:t>4</w:t>
      </w:r>
      <w:r>
        <w:rPr>
          <w:color w:val="auto"/>
          <w:sz w:val="24"/>
          <w:szCs w:val="32"/>
          <w:highlight w:val="none"/>
        </w:rPr>
        <w:fldChar w:fldCharType="end"/>
      </w:r>
      <w:r>
        <w:rPr>
          <w:rFonts w:ascii="宋体" w:hAnsi="宋体"/>
          <w:color w:val="auto"/>
          <w:sz w:val="24"/>
          <w:szCs w:val="36"/>
          <w:highlight w:val="none"/>
        </w:rPr>
        <w:fldChar w:fldCharType="end"/>
      </w:r>
    </w:p>
    <w:p w14:paraId="026991D3">
      <w:pPr>
        <w:pStyle w:val="16"/>
        <w:tabs>
          <w:tab w:val="right" w:leader="dot" w:pos="8879"/>
          <w:tab w:val="clear" w:pos="8296"/>
        </w:tabs>
        <w:spacing w:line="480" w:lineRule="auto"/>
        <w:rPr>
          <w:color w:val="auto"/>
          <w:sz w:val="24"/>
          <w:szCs w:val="32"/>
          <w:highlight w:val="none"/>
        </w:rPr>
      </w:pPr>
      <w:r>
        <w:rPr>
          <w:rFonts w:ascii="宋体" w:hAnsi="宋体"/>
          <w:color w:val="auto"/>
          <w:sz w:val="24"/>
          <w:szCs w:val="36"/>
          <w:highlight w:val="none"/>
        </w:rPr>
        <w:fldChar w:fldCharType="begin"/>
      </w:r>
      <w:r>
        <w:rPr>
          <w:rFonts w:ascii="宋体" w:hAnsi="宋体"/>
          <w:color w:val="auto"/>
          <w:sz w:val="24"/>
          <w:szCs w:val="36"/>
          <w:highlight w:val="none"/>
        </w:rPr>
        <w:instrText xml:space="preserve"> HYPERLINK \l _Toc14290 </w:instrText>
      </w:r>
      <w:r>
        <w:rPr>
          <w:rFonts w:ascii="宋体" w:hAnsi="宋体"/>
          <w:color w:val="auto"/>
          <w:sz w:val="24"/>
          <w:szCs w:val="36"/>
          <w:highlight w:val="none"/>
        </w:rPr>
        <w:fldChar w:fldCharType="separate"/>
      </w:r>
      <w:r>
        <w:rPr>
          <w:rFonts w:hint="eastAsia"/>
          <w:color w:val="auto"/>
          <w:sz w:val="24"/>
          <w:szCs w:val="32"/>
          <w:highlight w:val="none"/>
        </w:rPr>
        <w:t>第三章 采购需求</w:t>
      </w:r>
      <w:r>
        <w:rPr>
          <w:color w:val="auto"/>
          <w:sz w:val="24"/>
          <w:szCs w:val="32"/>
          <w:highlight w:val="none"/>
        </w:rPr>
        <w:tab/>
      </w:r>
      <w:r>
        <w:rPr>
          <w:color w:val="auto"/>
          <w:sz w:val="24"/>
          <w:szCs w:val="32"/>
          <w:highlight w:val="none"/>
        </w:rPr>
        <w:fldChar w:fldCharType="begin"/>
      </w:r>
      <w:r>
        <w:rPr>
          <w:color w:val="auto"/>
          <w:sz w:val="24"/>
          <w:szCs w:val="32"/>
          <w:highlight w:val="none"/>
        </w:rPr>
        <w:instrText xml:space="preserve"> PAGEREF _Toc14290 \h </w:instrText>
      </w:r>
      <w:r>
        <w:rPr>
          <w:color w:val="auto"/>
          <w:sz w:val="24"/>
          <w:szCs w:val="32"/>
          <w:highlight w:val="none"/>
        </w:rPr>
        <w:fldChar w:fldCharType="separate"/>
      </w:r>
      <w:r>
        <w:rPr>
          <w:color w:val="auto"/>
          <w:sz w:val="24"/>
          <w:szCs w:val="32"/>
          <w:highlight w:val="none"/>
        </w:rPr>
        <w:t>19</w:t>
      </w:r>
      <w:r>
        <w:rPr>
          <w:color w:val="auto"/>
          <w:sz w:val="24"/>
          <w:szCs w:val="32"/>
          <w:highlight w:val="none"/>
        </w:rPr>
        <w:fldChar w:fldCharType="end"/>
      </w:r>
      <w:r>
        <w:rPr>
          <w:rFonts w:ascii="宋体" w:hAnsi="宋体"/>
          <w:color w:val="auto"/>
          <w:sz w:val="24"/>
          <w:szCs w:val="36"/>
          <w:highlight w:val="none"/>
        </w:rPr>
        <w:fldChar w:fldCharType="end"/>
      </w:r>
    </w:p>
    <w:p w14:paraId="0D116740">
      <w:pPr>
        <w:pStyle w:val="16"/>
        <w:tabs>
          <w:tab w:val="right" w:leader="dot" w:pos="8879"/>
          <w:tab w:val="clear" w:pos="8296"/>
        </w:tabs>
        <w:spacing w:line="480" w:lineRule="auto"/>
        <w:rPr>
          <w:color w:val="auto"/>
          <w:sz w:val="24"/>
          <w:szCs w:val="32"/>
          <w:highlight w:val="none"/>
        </w:rPr>
      </w:pPr>
      <w:r>
        <w:rPr>
          <w:rFonts w:ascii="宋体" w:hAnsi="宋体"/>
          <w:color w:val="auto"/>
          <w:sz w:val="24"/>
          <w:szCs w:val="36"/>
          <w:highlight w:val="none"/>
        </w:rPr>
        <w:fldChar w:fldCharType="begin"/>
      </w:r>
      <w:r>
        <w:rPr>
          <w:rFonts w:ascii="宋体" w:hAnsi="宋体"/>
          <w:color w:val="auto"/>
          <w:sz w:val="24"/>
          <w:szCs w:val="36"/>
          <w:highlight w:val="none"/>
        </w:rPr>
        <w:instrText xml:space="preserve"> HYPERLINK \l _Toc17831 </w:instrText>
      </w:r>
      <w:r>
        <w:rPr>
          <w:rFonts w:ascii="宋体" w:hAnsi="宋体"/>
          <w:color w:val="auto"/>
          <w:sz w:val="24"/>
          <w:szCs w:val="36"/>
          <w:highlight w:val="none"/>
        </w:rPr>
        <w:fldChar w:fldCharType="separate"/>
      </w:r>
      <w:r>
        <w:rPr>
          <w:rFonts w:hint="eastAsia"/>
          <w:color w:val="auto"/>
          <w:sz w:val="24"/>
          <w:szCs w:val="32"/>
          <w:highlight w:val="none"/>
        </w:rPr>
        <w:t>第四章  评审程序、评审方法和评审标准</w:t>
      </w:r>
      <w:r>
        <w:rPr>
          <w:color w:val="auto"/>
          <w:sz w:val="24"/>
          <w:szCs w:val="32"/>
          <w:highlight w:val="none"/>
        </w:rPr>
        <w:tab/>
      </w:r>
      <w:r>
        <w:rPr>
          <w:color w:val="auto"/>
          <w:sz w:val="24"/>
          <w:szCs w:val="32"/>
          <w:highlight w:val="none"/>
        </w:rPr>
        <w:fldChar w:fldCharType="begin"/>
      </w:r>
      <w:r>
        <w:rPr>
          <w:color w:val="auto"/>
          <w:sz w:val="24"/>
          <w:szCs w:val="32"/>
          <w:highlight w:val="none"/>
        </w:rPr>
        <w:instrText xml:space="preserve"> PAGEREF _Toc17831 \h </w:instrText>
      </w:r>
      <w:r>
        <w:rPr>
          <w:color w:val="auto"/>
          <w:sz w:val="24"/>
          <w:szCs w:val="32"/>
          <w:highlight w:val="none"/>
        </w:rPr>
        <w:fldChar w:fldCharType="separate"/>
      </w:r>
      <w:r>
        <w:rPr>
          <w:color w:val="auto"/>
          <w:sz w:val="24"/>
          <w:szCs w:val="32"/>
          <w:highlight w:val="none"/>
        </w:rPr>
        <w:t>27</w:t>
      </w:r>
      <w:r>
        <w:rPr>
          <w:color w:val="auto"/>
          <w:sz w:val="24"/>
          <w:szCs w:val="32"/>
          <w:highlight w:val="none"/>
        </w:rPr>
        <w:fldChar w:fldCharType="end"/>
      </w:r>
      <w:r>
        <w:rPr>
          <w:rFonts w:ascii="宋体" w:hAnsi="宋体"/>
          <w:color w:val="auto"/>
          <w:sz w:val="24"/>
          <w:szCs w:val="36"/>
          <w:highlight w:val="none"/>
        </w:rPr>
        <w:fldChar w:fldCharType="end"/>
      </w:r>
    </w:p>
    <w:p w14:paraId="015BC2CD">
      <w:pPr>
        <w:pStyle w:val="16"/>
        <w:tabs>
          <w:tab w:val="right" w:leader="dot" w:pos="8879"/>
          <w:tab w:val="clear" w:pos="8296"/>
        </w:tabs>
        <w:spacing w:line="480" w:lineRule="auto"/>
        <w:rPr>
          <w:color w:val="auto"/>
          <w:sz w:val="24"/>
          <w:szCs w:val="32"/>
          <w:highlight w:val="none"/>
        </w:rPr>
      </w:pPr>
      <w:r>
        <w:rPr>
          <w:rFonts w:ascii="宋体" w:hAnsi="宋体"/>
          <w:color w:val="auto"/>
          <w:sz w:val="24"/>
          <w:szCs w:val="36"/>
          <w:highlight w:val="none"/>
        </w:rPr>
        <w:fldChar w:fldCharType="begin"/>
      </w:r>
      <w:r>
        <w:rPr>
          <w:rFonts w:ascii="宋体" w:hAnsi="宋体"/>
          <w:color w:val="auto"/>
          <w:sz w:val="24"/>
          <w:szCs w:val="36"/>
          <w:highlight w:val="none"/>
        </w:rPr>
        <w:instrText xml:space="preserve"> HYPERLINK \l _Toc27815 </w:instrText>
      </w:r>
      <w:r>
        <w:rPr>
          <w:rFonts w:ascii="宋体" w:hAnsi="宋体"/>
          <w:color w:val="auto"/>
          <w:sz w:val="24"/>
          <w:szCs w:val="36"/>
          <w:highlight w:val="none"/>
        </w:rPr>
        <w:fldChar w:fldCharType="separate"/>
      </w:r>
      <w:r>
        <w:rPr>
          <w:rFonts w:hint="eastAsia"/>
          <w:color w:val="auto"/>
          <w:sz w:val="24"/>
          <w:szCs w:val="32"/>
          <w:highlight w:val="none"/>
        </w:rPr>
        <w:t>第五章 响应文件格式</w:t>
      </w:r>
      <w:r>
        <w:rPr>
          <w:color w:val="auto"/>
          <w:sz w:val="24"/>
          <w:szCs w:val="32"/>
          <w:highlight w:val="none"/>
        </w:rPr>
        <w:tab/>
      </w:r>
      <w:r>
        <w:rPr>
          <w:color w:val="auto"/>
          <w:sz w:val="24"/>
          <w:szCs w:val="32"/>
          <w:highlight w:val="none"/>
        </w:rPr>
        <w:fldChar w:fldCharType="begin"/>
      </w:r>
      <w:r>
        <w:rPr>
          <w:color w:val="auto"/>
          <w:sz w:val="24"/>
          <w:szCs w:val="32"/>
          <w:highlight w:val="none"/>
        </w:rPr>
        <w:instrText xml:space="preserve"> PAGEREF _Toc27815 \h </w:instrText>
      </w:r>
      <w:r>
        <w:rPr>
          <w:color w:val="auto"/>
          <w:sz w:val="24"/>
          <w:szCs w:val="32"/>
          <w:highlight w:val="none"/>
        </w:rPr>
        <w:fldChar w:fldCharType="separate"/>
      </w:r>
      <w:r>
        <w:rPr>
          <w:color w:val="auto"/>
          <w:sz w:val="24"/>
          <w:szCs w:val="32"/>
          <w:highlight w:val="none"/>
        </w:rPr>
        <w:t>36</w:t>
      </w:r>
      <w:r>
        <w:rPr>
          <w:color w:val="auto"/>
          <w:sz w:val="24"/>
          <w:szCs w:val="32"/>
          <w:highlight w:val="none"/>
        </w:rPr>
        <w:fldChar w:fldCharType="end"/>
      </w:r>
      <w:r>
        <w:rPr>
          <w:rFonts w:ascii="宋体" w:hAnsi="宋体"/>
          <w:color w:val="auto"/>
          <w:sz w:val="24"/>
          <w:szCs w:val="36"/>
          <w:highlight w:val="none"/>
        </w:rPr>
        <w:fldChar w:fldCharType="end"/>
      </w:r>
    </w:p>
    <w:p w14:paraId="44EB1848">
      <w:pPr>
        <w:pStyle w:val="16"/>
        <w:tabs>
          <w:tab w:val="right" w:leader="dot" w:pos="8879"/>
          <w:tab w:val="clear" w:pos="8296"/>
        </w:tabs>
        <w:spacing w:line="480" w:lineRule="auto"/>
        <w:rPr>
          <w:color w:val="auto"/>
          <w:highlight w:val="none"/>
        </w:rPr>
      </w:pPr>
      <w:r>
        <w:rPr>
          <w:rFonts w:ascii="宋体" w:hAnsi="宋体"/>
          <w:color w:val="auto"/>
          <w:sz w:val="24"/>
          <w:szCs w:val="36"/>
          <w:highlight w:val="none"/>
        </w:rPr>
        <w:fldChar w:fldCharType="begin"/>
      </w:r>
      <w:r>
        <w:rPr>
          <w:rFonts w:ascii="宋体" w:hAnsi="宋体"/>
          <w:color w:val="auto"/>
          <w:sz w:val="24"/>
          <w:szCs w:val="36"/>
          <w:highlight w:val="none"/>
        </w:rPr>
        <w:instrText xml:space="preserve"> HYPERLINK \l _Toc24340 </w:instrText>
      </w:r>
      <w:r>
        <w:rPr>
          <w:rFonts w:ascii="宋体" w:hAnsi="宋体"/>
          <w:color w:val="auto"/>
          <w:sz w:val="24"/>
          <w:szCs w:val="36"/>
          <w:highlight w:val="none"/>
        </w:rPr>
        <w:fldChar w:fldCharType="separate"/>
      </w:r>
      <w:r>
        <w:rPr>
          <w:rFonts w:hint="eastAsia"/>
          <w:color w:val="auto"/>
          <w:sz w:val="24"/>
          <w:szCs w:val="32"/>
          <w:highlight w:val="none"/>
        </w:rPr>
        <w:t>第六章 合同文本</w:t>
      </w:r>
      <w:r>
        <w:rPr>
          <w:color w:val="auto"/>
          <w:sz w:val="24"/>
          <w:szCs w:val="32"/>
          <w:highlight w:val="none"/>
        </w:rPr>
        <w:tab/>
      </w:r>
      <w:r>
        <w:rPr>
          <w:color w:val="auto"/>
          <w:sz w:val="24"/>
          <w:szCs w:val="32"/>
          <w:highlight w:val="none"/>
        </w:rPr>
        <w:fldChar w:fldCharType="begin"/>
      </w:r>
      <w:r>
        <w:rPr>
          <w:color w:val="auto"/>
          <w:sz w:val="24"/>
          <w:szCs w:val="32"/>
          <w:highlight w:val="none"/>
        </w:rPr>
        <w:instrText xml:space="preserve"> PAGEREF _Toc24340 \h </w:instrText>
      </w:r>
      <w:r>
        <w:rPr>
          <w:color w:val="auto"/>
          <w:sz w:val="24"/>
          <w:szCs w:val="32"/>
          <w:highlight w:val="none"/>
        </w:rPr>
        <w:fldChar w:fldCharType="separate"/>
      </w:r>
      <w:r>
        <w:rPr>
          <w:color w:val="auto"/>
          <w:sz w:val="24"/>
          <w:szCs w:val="32"/>
          <w:highlight w:val="none"/>
        </w:rPr>
        <w:t>65</w:t>
      </w:r>
      <w:r>
        <w:rPr>
          <w:color w:val="auto"/>
          <w:sz w:val="24"/>
          <w:szCs w:val="32"/>
          <w:highlight w:val="none"/>
        </w:rPr>
        <w:fldChar w:fldCharType="end"/>
      </w:r>
      <w:r>
        <w:rPr>
          <w:rFonts w:ascii="宋体" w:hAnsi="宋体"/>
          <w:color w:val="auto"/>
          <w:sz w:val="24"/>
          <w:szCs w:val="36"/>
          <w:highlight w:val="none"/>
        </w:rPr>
        <w:fldChar w:fldCharType="end"/>
      </w:r>
    </w:p>
    <w:p w14:paraId="746DFEBD">
      <w:pPr>
        <w:pStyle w:val="16"/>
        <w:rPr>
          <w:color w:val="auto"/>
          <w:sz w:val="28"/>
          <w:szCs w:val="28"/>
          <w:highlight w:val="none"/>
        </w:rPr>
      </w:pPr>
      <w:r>
        <w:rPr>
          <w:rFonts w:ascii="宋体" w:hAnsi="宋体"/>
          <w:color w:val="auto"/>
          <w:szCs w:val="30"/>
          <w:highlight w:val="none"/>
        </w:rPr>
        <w:fldChar w:fldCharType="end"/>
      </w:r>
    </w:p>
    <w:p w14:paraId="3AD2A108">
      <w:pPr>
        <w:spacing w:line="400" w:lineRule="exact"/>
        <w:jc w:val="left"/>
        <w:rPr>
          <w:rFonts w:ascii="宋体" w:hAnsi="宋体"/>
          <w:b/>
          <w:color w:val="auto"/>
          <w:sz w:val="32"/>
          <w:szCs w:val="32"/>
          <w:highlight w:val="none"/>
        </w:rPr>
      </w:pPr>
    </w:p>
    <w:p w14:paraId="3D7879DC">
      <w:pPr>
        <w:spacing w:line="400" w:lineRule="exact"/>
        <w:jc w:val="center"/>
        <w:rPr>
          <w:rFonts w:ascii="宋体" w:hAnsi="宋体"/>
          <w:b/>
          <w:color w:val="auto"/>
          <w:sz w:val="32"/>
          <w:szCs w:val="32"/>
          <w:highlight w:val="none"/>
        </w:rPr>
      </w:pPr>
    </w:p>
    <w:p w14:paraId="51E7D17A">
      <w:pPr>
        <w:spacing w:line="400" w:lineRule="exact"/>
        <w:jc w:val="center"/>
        <w:rPr>
          <w:rFonts w:ascii="宋体" w:hAnsi="宋体"/>
          <w:b/>
          <w:color w:val="auto"/>
          <w:sz w:val="32"/>
          <w:szCs w:val="32"/>
          <w:highlight w:val="none"/>
        </w:rPr>
      </w:pPr>
    </w:p>
    <w:p w14:paraId="455C0605">
      <w:pPr>
        <w:spacing w:line="400" w:lineRule="exact"/>
        <w:jc w:val="center"/>
        <w:rPr>
          <w:rFonts w:ascii="宋体" w:hAnsi="宋体"/>
          <w:b/>
          <w:color w:val="auto"/>
          <w:sz w:val="32"/>
          <w:szCs w:val="32"/>
          <w:highlight w:val="none"/>
        </w:rPr>
      </w:pPr>
    </w:p>
    <w:p w14:paraId="765FB957">
      <w:pPr>
        <w:spacing w:line="400" w:lineRule="exact"/>
        <w:jc w:val="center"/>
        <w:rPr>
          <w:rFonts w:ascii="宋体" w:hAnsi="宋体"/>
          <w:b/>
          <w:color w:val="auto"/>
          <w:sz w:val="32"/>
          <w:szCs w:val="32"/>
          <w:highlight w:val="none"/>
        </w:rPr>
      </w:pPr>
    </w:p>
    <w:p w14:paraId="19EC11A5">
      <w:pPr>
        <w:spacing w:line="400" w:lineRule="exact"/>
        <w:rPr>
          <w:rFonts w:ascii="宋体" w:hAnsi="宋体"/>
          <w:b/>
          <w:color w:val="auto"/>
          <w:sz w:val="32"/>
          <w:szCs w:val="32"/>
          <w:highlight w:val="none"/>
        </w:rPr>
        <w:sectPr>
          <w:headerReference r:id="rId9" w:type="first"/>
          <w:footerReference r:id="rId11" w:type="first"/>
          <w:headerReference r:id="rId8" w:type="default"/>
          <w:footerReference r:id="rId10" w:type="default"/>
          <w:pgSz w:w="11906" w:h="16838"/>
          <w:pgMar w:top="1440" w:right="1440" w:bottom="1440" w:left="1587" w:header="851" w:footer="992" w:gutter="0"/>
          <w:pgNumType w:start="0"/>
          <w:cols w:space="720" w:num="1"/>
          <w:titlePg/>
          <w:docGrid w:type="lines" w:linePitch="312" w:charSpace="0"/>
        </w:sectPr>
      </w:pPr>
    </w:p>
    <w:p w14:paraId="753E56BC">
      <w:pPr>
        <w:pStyle w:val="3"/>
        <w:numPr>
          <w:ilvl w:val="0"/>
          <w:numId w:val="2"/>
        </w:numPr>
        <w:jc w:val="center"/>
        <w:rPr>
          <w:color w:val="auto"/>
          <w:highlight w:val="none"/>
        </w:rPr>
      </w:pPr>
      <w:bookmarkStart w:id="13" w:name="_Toc31321"/>
      <w:r>
        <w:rPr>
          <w:rFonts w:hint="eastAsia"/>
          <w:color w:val="auto"/>
          <w:highlight w:val="none"/>
        </w:rPr>
        <w:t>竞争性磋商公告</w:t>
      </w:r>
      <w:bookmarkEnd w:id="13"/>
    </w:p>
    <w:p w14:paraId="73926B05">
      <w:pPr>
        <w:spacing w:line="360" w:lineRule="auto"/>
        <w:jc w:val="center"/>
        <w:rPr>
          <w:rFonts w:hint="eastAsia" w:eastAsia="宋体"/>
          <w:b/>
          <w:bCs/>
          <w:color w:val="auto"/>
          <w:sz w:val="28"/>
          <w:szCs w:val="36"/>
          <w:highlight w:val="none"/>
          <w:lang w:eastAsia="zh-CN"/>
        </w:rPr>
      </w:pPr>
      <w:r>
        <w:rPr>
          <w:rFonts w:hint="eastAsia"/>
          <w:b/>
          <w:bCs/>
          <w:color w:val="auto"/>
          <w:sz w:val="28"/>
          <w:szCs w:val="36"/>
          <w:highlight w:val="none"/>
          <w:lang w:eastAsia="zh-CN"/>
        </w:rPr>
        <w:t>广西崇善项目咨询有限公司</w:t>
      </w:r>
    </w:p>
    <w:p w14:paraId="5320A16A">
      <w:pPr>
        <w:spacing w:line="360" w:lineRule="auto"/>
        <w:jc w:val="center"/>
        <w:rPr>
          <w:b/>
          <w:bCs/>
          <w:color w:val="auto"/>
          <w:sz w:val="28"/>
          <w:szCs w:val="36"/>
          <w:highlight w:val="none"/>
        </w:rPr>
      </w:pPr>
      <w:r>
        <w:rPr>
          <w:rFonts w:hint="eastAsia"/>
          <w:b/>
          <w:bCs/>
          <w:color w:val="auto"/>
          <w:sz w:val="28"/>
          <w:szCs w:val="36"/>
          <w:highlight w:val="none"/>
        </w:rPr>
        <w:t>关于</w:t>
      </w:r>
      <w:r>
        <w:rPr>
          <w:rFonts w:hint="eastAsia"/>
          <w:b/>
          <w:bCs/>
          <w:color w:val="auto"/>
          <w:sz w:val="28"/>
          <w:szCs w:val="36"/>
          <w:highlight w:val="none"/>
          <w:lang w:eastAsia="zh-CN"/>
        </w:rPr>
        <w:t>中泰崇左产业园棚户区改造项目A区、B区、C区等物业管理服务</w:t>
      </w:r>
      <w:r>
        <w:rPr>
          <w:rFonts w:hint="eastAsia" w:ascii="宋体" w:hAnsi="宋体" w:cs="宋体"/>
          <w:b/>
          <w:bCs/>
          <w:color w:val="auto"/>
          <w:sz w:val="28"/>
          <w:szCs w:val="28"/>
          <w:highlight w:val="none"/>
          <w:lang w:eastAsia="zh-CN"/>
        </w:rPr>
        <w:t>物业管理服务</w:t>
      </w:r>
      <w:r>
        <w:rPr>
          <w:rFonts w:hint="eastAsia" w:ascii="宋体" w:hAnsi="宋体" w:cs="宋体"/>
          <w:b/>
          <w:bCs/>
          <w:color w:val="auto"/>
          <w:sz w:val="28"/>
          <w:szCs w:val="28"/>
          <w:highlight w:val="none"/>
          <w:lang w:val="en-US" w:eastAsia="zh-CN"/>
        </w:rPr>
        <w:t xml:space="preserve"> </w:t>
      </w:r>
      <w:r>
        <w:rPr>
          <w:rFonts w:hint="eastAsia" w:ascii="宋体" w:hAnsi="宋体" w:cs="宋体"/>
          <w:b/>
          <w:bCs/>
          <w:color w:val="auto"/>
          <w:sz w:val="28"/>
          <w:szCs w:val="28"/>
          <w:highlight w:val="none"/>
        </w:rPr>
        <w:t>（项目编号：</w:t>
      </w:r>
      <w:r>
        <w:rPr>
          <w:rFonts w:hint="eastAsia" w:ascii="宋体" w:hAnsi="宋体"/>
          <w:b/>
          <w:bCs/>
          <w:color w:val="auto"/>
          <w:sz w:val="28"/>
          <w:szCs w:val="28"/>
          <w:highlight w:val="none"/>
          <w:lang w:eastAsia="zh-CN"/>
        </w:rPr>
        <w:t>CZ2025-C3-009-GXCS</w:t>
      </w:r>
      <w:r>
        <w:rPr>
          <w:rFonts w:hint="eastAsia" w:ascii="宋体" w:hAnsi="宋体" w:cs="宋体"/>
          <w:b/>
          <w:bCs/>
          <w:color w:val="auto"/>
          <w:sz w:val="28"/>
          <w:szCs w:val="28"/>
          <w:highlight w:val="none"/>
        </w:rPr>
        <w:t>）竞争性磋商公告</w:t>
      </w:r>
    </w:p>
    <w:p w14:paraId="3663352C">
      <w:pPr>
        <w:pBdr>
          <w:top w:val="single" w:color="auto" w:sz="4" w:space="1"/>
          <w:left w:val="single" w:color="auto" w:sz="4" w:space="4"/>
          <w:bottom w:val="single" w:color="auto" w:sz="4" w:space="1"/>
          <w:right w:val="single" w:color="auto" w:sz="4" w:space="4"/>
        </w:pBdr>
        <w:spacing w:line="360" w:lineRule="auto"/>
        <w:rPr>
          <w:rFonts w:hint="eastAsia" w:ascii="宋体" w:hAnsi="宋体" w:eastAsia="宋体"/>
          <w:color w:val="auto"/>
          <w:szCs w:val="21"/>
          <w:highlight w:val="none"/>
          <w:lang w:eastAsia="zh-CN"/>
        </w:rPr>
      </w:pPr>
      <w:bookmarkStart w:id="14" w:name="_Hlk37430271"/>
      <w:r>
        <w:rPr>
          <w:rFonts w:hint="eastAsia" w:ascii="宋体" w:hAnsi="宋体"/>
          <w:color w:val="auto"/>
          <w:szCs w:val="21"/>
          <w:highlight w:val="none"/>
        </w:rPr>
        <w:t>项目概况</w:t>
      </w:r>
      <w:r>
        <w:rPr>
          <w:rFonts w:hint="eastAsia" w:ascii="宋体" w:hAnsi="宋体"/>
          <w:color w:val="auto"/>
          <w:szCs w:val="21"/>
          <w:highlight w:val="none"/>
          <w:lang w:eastAsia="zh-CN"/>
        </w:rPr>
        <w:t>：</w:t>
      </w:r>
    </w:p>
    <w:p w14:paraId="16FBAF14">
      <w:pPr>
        <w:pBdr>
          <w:top w:val="single" w:color="auto" w:sz="4" w:space="1"/>
          <w:left w:val="single" w:color="auto" w:sz="4" w:space="4"/>
          <w:bottom w:val="single" w:color="auto" w:sz="4" w:space="1"/>
          <w:right w:val="single" w:color="auto" w:sz="4" w:space="4"/>
        </w:pBdr>
        <w:spacing w:line="360" w:lineRule="auto"/>
        <w:ind w:firstLine="420" w:firstLineChars="200"/>
        <w:rPr>
          <w:rFonts w:ascii="宋体" w:hAnsi="宋体"/>
          <w:color w:val="auto"/>
          <w:szCs w:val="21"/>
          <w:highlight w:val="none"/>
        </w:rPr>
      </w:pPr>
      <w:r>
        <w:rPr>
          <w:rFonts w:hint="eastAsia" w:ascii="宋体" w:hAnsi="宋体" w:cs="宋体"/>
          <w:color w:val="auto"/>
          <w:szCs w:val="21"/>
          <w:highlight w:val="none"/>
          <w:u w:val="single"/>
          <w:lang w:eastAsia="zh-CN"/>
        </w:rPr>
        <w:t>中泰崇左产业园棚户区改造项目A区、B区、C区等物业管理服务</w:t>
      </w:r>
      <w:r>
        <w:rPr>
          <w:rFonts w:hint="eastAsia" w:ascii="宋体" w:hAnsi="宋体"/>
          <w:color w:val="auto"/>
          <w:szCs w:val="21"/>
          <w:highlight w:val="none"/>
          <w:u w:val="single"/>
        </w:rPr>
        <w:t xml:space="preserve"> </w:t>
      </w:r>
      <w:r>
        <w:rPr>
          <w:rFonts w:hint="eastAsia" w:ascii="宋体" w:hAnsi="宋体"/>
          <w:color w:val="auto"/>
          <w:szCs w:val="21"/>
          <w:highlight w:val="none"/>
        </w:rPr>
        <w:t>的潜在供应商应在</w:t>
      </w:r>
      <w:r>
        <w:rPr>
          <w:rFonts w:hint="eastAsia" w:ascii="宋体" w:hAnsi="宋体"/>
          <w:color w:val="auto"/>
          <w:szCs w:val="21"/>
          <w:highlight w:val="none"/>
          <w:u w:val="single"/>
        </w:rPr>
        <w:t>（</w:t>
      </w:r>
      <w:r>
        <w:rPr>
          <w:rFonts w:hint="eastAsia" w:ascii="宋体" w:hAnsi="宋体" w:cs="宋体"/>
          <w:color w:val="auto"/>
          <w:szCs w:val="21"/>
          <w:highlight w:val="none"/>
          <w:u w:val="single"/>
          <w:lang w:eastAsia="zh-CN"/>
        </w:rPr>
        <w:t>广西崇善项目咨询有限公司</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eastAsia="zh-CN"/>
        </w:rPr>
        <w:t>崇左市江州区城南区新城路西段南侧（阳光名邸）第C4栋103号</w:t>
      </w:r>
      <w:r>
        <w:rPr>
          <w:rFonts w:hint="eastAsia" w:ascii="宋体" w:hAnsi="宋体" w:cs="宋体"/>
          <w:color w:val="auto"/>
          <w:szCs w:val="21"/>
          <w:highlight w:val="none"/>
          <w:u w:val="single"/>
        </w:rPr>
        <w:t>】）</w:t>
      </w:r>
      <w:r>
        <w:rPr>
          <w:rFonts w:hint="eastAsia" w:ascii="宋体" w:hAnsi="宋体"/>
          <w:color w:val="auto"/>
          <w:szCs w:val="21"/>
          <w:highlight w:val="none"/>
        </w:rPr>
        <w:t>获取竞争性磋商文件，并于</w:t>
      </w:r>
      <w:r>
        <w:rPr>
          <w:rFonts w:hint="eastAsia" w:ascii="宋体" w:hAnsi="宋体"/>
          <w:color w:val="auto"/>
          <w:szCs w:val="21"/>
          <w:highlight w:val="none"/>
          <w:lang w:eastAsia="zh-CN"/>
        </w:rPr>
        <w:t>2025年6月30日8时30分</w:t>
      </w:r>
      <w:r>
        <w:rPr>
          <w:rFonts w:hint="eastAsia" w:ascii="宋体" w:hAnsi="宋体"/>
          <w:bCs/>
          <w:color w:val="auto"/>
          <w:szCs w:val="21"/>
          <w:highlight w:val="none"/>
        </w:rPr>
        <w:t>（北京时间）前提交响应</w:t>
      </w:r>
      <w:r>
        <w:rPr>
          <w:rFonts w:ascii="宋体" w:hAnsi="宋体"/>
          <w:bCs/>
          <w:color w:val="auto"/>
          <w:szCs w:val="21"/>
          <w:highlight w:val="none"/>
        </w:rPr>
        <w:t>文件</w:t>
      </w:r>
      <w:r>
        <w:rPr>
          <w:rFonts w:hint="eastAsia" w:ascii="宋体" w:hAnsi="宋体"/>
          <w:color w:val="auto"/>
          <w:szCs w:val="21"/>
          <w:highlight w:val="none"/>
        </w:rPr>
        <w:t>。</w:t>
      </w:r>
      <w:bookmarkStart w:id="190" w:name="_GoBack"/>
      <w:bookmarkEnd w:id="190"/>
    </w:p>
    <w:p w14:paraId="227BBEA7">
      <w:pPr>
        <w:pStyle w:val="3"/>
        <w:spacing w:before="0" w:after="0" w:line="360" w:lineRule="auto"/>
        <w:ind w:firstLine="482" w:firstLineChars="200"/>
        <w:rPr>
          <w:rFonts w:hint="eastAsia" w:ascii="黑体" w:hAnsi="黑体" w:eastAsia="黑体" w:cs="宋体"/>
          <w:bCs w:val="0"/>
          <w:color w:val="auto"/>
          <w:sz w:val="24"/>
          <w:szCs w:val="24"/>
          <w:highlight w:val="none"/>
        </w:rPr>
      </w:pPr>
      <w:bookmarkStart w:id="15" w:name="_Toc28359089"/>
      <w:bookmarkStart w:id="16" w:name="_Toc35393629"/>
      <w:bookmarkStart w:id="17" w:name="_Toc20688"/>
      <w:bookmarkStart w:id="18" w:name="_Toc28359012"/>
      <w:bookmarkStart w:id="19" w:name="_Toc35393798"/>
      <w:bookmarkStart w:id="20" w:name="_Toc44229878"/>
    </w:p>
    <w:p w14:paraId="35260D02">
      <w:pPr>
        <w:pStyle w:val="3"/>
        <w:spacing w:before="0" w:after="0" w:line="360" w:lineRule="auto"/>
        <w:ind w:firstLine="482" w:firstLineChars="200"/>
        <w:rPr>
          <w:rFonts w:ascii="黑体" w:hAnsi="黑体" w:eastAsia="黑体" w:cs="宋体"/>
          <w:bCs w:val="0"/>
          <w:color w:val="auto"/>
          <w:sz w:val="24"/>
          <w:szCs w:val="24"/>
          <w:highlight w:val="none"/>
        </w:rPr>
      </w:pPr>
      <w:r>
        <w:rPr>
          <w:rFonts w:hint="eastAsia" w:ascii="黑体" w:hAnsi="黑体" w:eastAsia="黑体" w:cs="宋体"/>
          <w:bCs w:val="0"/>
          <w:color w:val="auto"/>
          <w:sz w:val="24"/>
          <w:szCs w:val="24"/>
          <w:highlight w:val="none"/>
        </w:rPr>
        <w:t>一、项目基本情况</w:t>
      </w:r>
      <w:bookmarkEnd w:id="15"/>
      <w:bookmarkEnd w:id="16"/>
      <w:bookmarkEnd w:id="17"/>
      <w:bookmarkEnd w:id="18"/>
      <w:bookmarkEnd w:id="19"/>
      <w:bookmarkEnd w:id="20"/>
    </w:p>
    <w:p w14:paraId="0FCDE796">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ascii="宋体" w:hAnsi="宋体"/>
          <w:color w:val="auto"/>
          <w:szCs w:val="21"/>
          <w:highlight w:val="none"/>
        </w:rPr>
        <w:t>.</w:t>
      </w:r>
      <w:r>
        <w:rPr>
          <w:rFonts w:hint="eastAsia" w:ascii="宋体" w:hAnsi="宋体"/>
          <w:color w:val="auto"/>
          <w:szCs w:val="21"/>
          <w:highlight w:val="none"/>
        </w:rPr>
        <w:t>项目编号：</w:t>
      </w:r>
      <w:r>
        <w:rPr>
          <w:rFonts w:hint="eastAsia" w:ascii="宋体" w:hAnsi="宋体"/>
          <w:color w:val="auto"/>
          <w:szCs w:val="21"/>
          <w:highlight w:val="none"/>
          <w:lang w:eastAsia="zh-CN"/>
        </w:rPr>
        <w:t>CZ2025-C3-009-GXCS</w:t>
      </w:r>
    </w:p>
    <w:p w14:paraId="693A2182">
      <w:pPr>
        <w:spacing w:line="360" w:lineRule="auto"/>
        <w:ind w:firstLine="420" w:firstLineChars="200"/>
        <w:rPr>
          <w:rFonts w:hint="default" w:ascii="宋体" w:hAnsi="宋体" w:eastAsia="宋体"/>
          <w:color w:val="auto"/>
          <w:szCs w:val="21"/>
          <w:highlight w:val="none"/>
          <w:lang w:eastAsia="zh-CN"/>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项目名称：</w:t>
      </w:r>
      <w:r>
        <w:rPr>
          <w:rFonts w:hint="eastAsia" w:ascii="宋体" w:hAnsi="宋体" w:cs="宋体"/>
          <w:color w:val="auto"/>
          <w:szCs w:val="21"/>
          <w:highlight w:val="none"/>
          <w:lang w:eastAsia="zh-CN"/>
        </w:rPr>
        <w:t>中泰崇左产业园棚户区改造项目A区、B区、C区等物业管理服务</w:t>
      </w:r>
    </w:p>
    <w:p w14:paraId="76246505">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ascii="宋体" w:hAnsi="宋体"/>
          <w:color w:val="auto"/>
          <w:szCs w:val="21"/>
          <w:highlight w:val="none"/>
        </w:rPr>
        <w:t>.</w:t>
      </w:r>
      <w:r>
        <w:rPr>
          <w:rFonts w:hint="eastAsia" w:ascii="宋体" w:hAnsi="宋体"/>
          <w:color w:val="auto"/>
          <w:szCs w:val="21"/>
          <w:highlight w:val="none"/>
        </w:rPr>
        <w:t>采购方式：竞争性磋商</w:t>
      </w:r>
      <w:r>
        <w:rPr>
          <w:rFonts w:hint="eastAsia" w:ascii="宋体" w:hAnsi="宋体"/>
          <w:color w:val="auto"/>
          <w:szCs w:val="21"/>
          <w:highlight w:val="none"/>
          <w:lang w:eastAsia="zh-CN"/>
        </w:rPr>
        <w:t>。</w:t>
      </w:r>
    </w:p>
    <w:p w14:paraId="6D446720">
      <w:pPr>
        <w:spacing w:line="360" w:lineRule="auto"/>
        <w:ind w:firstLine="420" w:firstLineChars="200"/>
        <w:rPr>
          <w:rFonts w:hint="default" w:ascii="宋体" w:hAnsi="宋体"/>
          <w:color w:val="auto"/>
          <w:szCs w:val="21"/>
          <w:highlight w:val="none"/>
          <w:lang w:val="en-US" w:eastAsia="zh-CN"/>
        </w:rPr>
      </w:pP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预算金额：</w:t>
      </w:r>
      <w:r>
        <w:rPr>
          <w:rFonts w:hint="eastAsia" w:ascii="宋体" w:hAnsi="宋体"/>
          <w:color w:val="auto"/>
          <w:szCs w:val="21"/>
          <w:highlight w:val="none"/>
          <w:lang w:val="en-US" w:eastAsia="zh-CN"/>
        </w:rPr>
        <w:t>人民币捌拾壹万捌仟叁佰壹拾壹元叁角贰分（¥818311.32）。</w:t>
      </w:r>
    </w:p>
    <w:p w14:paraId="3771412E">
      <w:pPr>
        <w:spacing w:line="360" w:lineRule="auto"/>
        <w:ind w:firstLine="420" w:firstLineChars="200"/>
        <w:rPr>
          <w:rFonts w:hint="eastAsia" w:ascii="宋体" w:hAnsi="宋体" w:cs="宋体"/>
          <w:bCs/>
          <w:color w:val="auto"/>
          <w:szCs w:val="21"/>
          <w:highlight w:val="none"/>
        </w:rPr>
      </w:pPr>
      <w:r>
        <w:rPr>
          <w:rFonts w:hint="eastAsia" w:ascii="宋体" w:hAnsi="宋体"/>
          <w:color w:val="auto"/>
          <w:szCs w:val="21"/>
          <w:highlight w:val="none"/>
        </w:rPr>
        <w:t>5.</w:t>
      </w:r>
      <w:r>
        <w:rPr>
          <w:rFonts w:hint="eastAsia" w:ascii="宋体" w:hAnsi="宋体" w:cs="宋体"/>
          <w:bCs/>
          <w:color w:val="auto"/>
          <w:szCs w:val="21"/>
          <w:highlight w:val="none"/>
        </w:rPr>
        <w:t>采购需求：</w:t>
      </w:r>
      <w:r>
        <w:rPr>
          <w:rFonts w:hint="eastAsia" w:ascii="宋体" w:hAnsi="宋体" w:cs="宋体"/>
          <w:color w:val="auto"/>
          <w:szCs w:val="21"/>
          <w:highlight w:val="none"/>
          <w:lang w:eastAsia="zh-CN"/>
        </w:rPr>
        <w:t>中泰崇左产业园棚户区改造项目A区、B区、C区等</w:t>
      </w:r>
      <w:r>
        <w:rPr>
          <w:rFonts w:hint="eastAsia" w:ascii="宋体" w:hAnsi="宋体" w:cs="宋体"/>
          <w:b w:val="0"/>
          <w:bCs w:val="0"/>
          <w:color w:val="auto"/>
          <w:sz w:val="24"/>
          <w:szCs w:val="24"/>
          <w:highlight w:val="none"/>
        </w:rPr>
        <w:t>物业管理服务</w:t>
      </w:r>
      <w:r>
        <w:rPr>
          <w:rFonts w:hint="eastAsia" w:ascii="宋体" w:hAnsi="宋体" w:cs="宋体"/>
          <w:bCs/>
          <w:color w:val="auto"/>
          <w:szCs w:val="21"/>
          <w:highlight w:val="none"/>
          <w:lang w:val="en-US" w:eastAsia="zh-CN"/>
        </w:rPr>
        <w:t>工作</w:t>
      </w:r>
      <w:r>
        <w:rPr>
          <w:rFonts w:hint="eastAsia" w:ascii="宋体" w:hAnsi="宋体" w:cs="宋体"/>
          <w:bCs/>
          <w:color w:val="auto"/>
          <w:szCs w:val="21"/>
          <w:highlight w:val="none"/>
        </w:rPr>
        <w:t>， 如需进一步了解详细内容，详见竞争性磋商文件。</w:t>
      </w:r>
    </w:p>
    <w:p w14:paraId="0EDE47C6">
      <w:pPr>
        <w:spacing w:line="360" w:lineRule="auto"/>
        <w:ind w:firstLine="420" w:firstLineChars="200"/>
        <w:rPr>
          <w:rFonts w:hint="default" w:ascii="宋体" w:hAnsi="宋体" w:eastAsia="宋体"/>
          <w:color w:val="auto"/>
          <w:szCs w:val="21"/>
          <w:highlight w:val="none"/>
          <w:u w:val="single"/>
          <w:lang w:val="en-US" w:eastAsia="zh-CN"/>
        </w:rPr>
      </w:pPr>
      <w:r>
        <w:rPr>
          <w:rFonts w:hint="eastAsia" w:ascii="宋体" w:hAnsi="宋体"/>
          <w:color w:val="auto"/>
          <w:szCs w:val="21"/>
          <w:highlight w:val="none"/>
          <w:lang w:val="en-US" w:eastAsia="zh-CN"/>
        </w:rPr>
        <w:t>6</w:t>
      </w:r>
      <w:r>
        <w:rPr>
          <w:rFonts w:ascii="宋体" w:hAnsi="宋体"/>
          <w:color w:val="auto"/>
          <w:szCs w:val="21"/>
          <w:highlight w:val="none"/>
        </w:rPr>
        <w:t>.</w:t>
      </w:r>
      <w:r>
        <w:rPr>
          <w:rFonts w:hint="eastAsia" w:ascii="宋体" w:hAnsi="宋体"/>
          <w:color w:val="auto"/>
          <w:szCs w:val="21"/>
          <w:highlight w:val="none"/>
        </w:rPr>
        <w:t>合同履行期限：</w:t>
      </w:r>
      <w:r>
        <w:rPr>
          <w:rFonts w:hint="eastAsia" w:ascii="宋体" w:hAnsi="宋体"/>
          <w:color w:val="auto"/>
          <w:szCs w:val="21"/>
          <w:highlight w:val="none"/>
          <w:lang w:val="en-US" w:eastAsia="zh-CN"/>
        </w:rPr>
        <w:t>1年。</w:t>
      </w:r>
    </w:p>
    <w:p w14:paraId="0074240A">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r>
        <w:rPr>
          <w:rFonts w:ascii="宋体" w:hAnsi="宋体"/>
          <w:color w:val="auto"/>
          <w:szCs w:val="21"/>
          <w:highlight w:val="none"/>
        </w:rPr>
        <w:t>.</w:t>
      </w:r>
      <w:r>
        <w:rPr>
          <w:rFonts w:hint="eastAsia" w:ascii="宋体" w:hAnsi="宋体"/>
          <w:color w:val="auto"/>
          <w:szCs w:val="21"/>
          <w:highlight w:val="none"/>
        </w:rPr>
        <w:t>本项目不接受联合体</w:t>
      </w:r>
      <w:r>
        <w:rPr>
          <w:rFonts w:hint="eastAsia" w:ascii="宋体" w:hAnsi="宋体"/>
          <w:color w:val="auto"/>
          <w:szCs w:val="21"/>
          <w:highlight w:val="none"/>
          <w:lang w:eastAsia="zh-CN"/>
        </w:rPr>
        <w:t>。</w:t>
      </w:r>
    </w:p>
    <w:p w14:paraId="02975473">
      <w:pPr>
        <w:pStyle w:val="3"/>
        <w:spacing w:before="0" w:after="0" w:line="360" w:lineRule="auto"/>
        <w:ind w:firstLine="482" w:firstLineChars="200"/>
        <w:rPr>
          <w:rFonts w:ascii="黑体" w:hAnsi="黑体" w:eastAsia="黑体" w:cs="宋体"/>
          <w:bCs w:val="0"/>
          <w:color w:val="auto"/>
          <w:sz w:val="24"/>
          <w:szCs w:val="24"/>
          <w:highlight w:val="none"/>
        </w:rPr>
      </w:pPr>
      <w:bookmarkStart w:id="21" w:name="_Toc28359090"/>
      <w:bookmarkStart w:id="22" w:name="_Toc19659"/>
      <w:bookmarkStart w:id="23" w:name="_Toc35393799"/>
      <w:bookmarkStart w:id="24" w:name="_Toc35393630"/>
      <w:bookmarkStart w:id="25" w:name="_Toc28359013"/>
      <w:bookmarkStart w:id="26" w:name="_Toc44229879"/>
      <w:r>
        <w:rPr>
          <w:rFonts w:hint="eastAsia" w:ascii="黑体" w:hAnsi="黑体" w:eastAsia="黑体" w:cs="宋体"/>
          <w:bCs w:val="0"/>
          <w:color w:val="auto"/>
          <w:sz w:val="24"/>
          <w:szCs w:val="24"/>
          <w:highlight w:val="none"/>
        </w:rPr>
        <w:t>二、供应商的资格条件：</w:t>
      </w:r>
      <w:bookmarkEnd w:id="21"/>
      <w:bookmarkEnd w:id="22"/>
      <w:bookmarkEnd w:id="23"/>
      <w:bookmarkEnd w:id="24"/>
      <w:bookmarkEnd w:id="25"/>
      <w:bookmarkEnd w:id="26"/>
    </w:p>
    <w:p w14:paraId="028F77D4">
      <w:pPr>
        <w:spacing w:line="360" w:lineRule="auto"/>
        <w:ind w:firstLine="420" w:firstLineChars="200"/>
        <w:rPr>
          <w:rFonts w:ascii="宋体" w:hAnsi="宋体"/>
          <w:color w:val="auto"/>
          <w:szCs w:val="21"/>
          <w:highlight w:val="none"/>
        </w:rPr>
      </w:pPr>
      <w:bookmarkStart w:id="27" w:name="_Toc35393631"/>
      <w:bookmarkStart w:id="28" w:name="_Toc28359091"/>
      <w:bookmarkStart w:id="29" w:name="_Toc44229880"/>
      <w:bookmarkStart w:id="30" w:name="_Toc28359014"/>
      <w:bookmarkStart w:id="31" w:name="_Toc35393800"/>
      <w:r>
        <w:rPr>
          <w:rFonts w:hint="eastAsia" w:ascii="宋体" w:hAnsi="宋体"/>
          <w:color w:val="auto"/>
          <w:szCs w:val="21"/>
          <w:highlight w:val="none"/>
        </w:rPr>
        <w:t>1.满足《中华人民共和国政府采购法》第二十二条规定；</w:t>
      </w:r>
    </w:p>
    <w:p w14:paraId="54F4B9E5">
      <w:pPr>
        <w:spacing w:line="360" w:lineRule="auto"/>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2</w:t>
      </w:r>
      <w:r>
        <w:rPr>
          <w:rFonts w:hint="eastAsia" w:ascii="宋体" w:hAnsi="宋体"/>
          <w:color w:val="auto"/>
          <w:szCs w:val="21"/>
          <w:highlight w:val="none"/>
        </w:rPr>
        <w:t>.本项目的特定资格要求：</w:t>
      </w:r>
      <w:r>
        <w:rPr>
          <w:rFonts w:hint="eastAsia" w:ascii="宋体" w:hAnsi="宋体" w:cs="宋体"/>
          <w:color w:val="auto"/>
          <w:highlight w:val="none"/>
          <w:lang w:val="en-US" w:eastAsia="zh-CN"/>
        </w:rPr>
        <w:t>无</w:t>
      </w:r>
      <w:r>
        <w:rPr>
          <w:rFonts w:hint="eastAsia" w:ascii="宋体" w:hAnsi="宋体" w:cs="宋体"/>
          <w:color w:val="auto"/>
          <w:highlight w:val="none"/>
          <w:lang w:eastAsia="zh-CN"/>
        </w:rPr>
        <w:t>。</w:t>
      </w:r>
    </w:p>
    <w:p w14:paraId="4B8C6865">
      <w:pPr>
        <w:snapToGrid w:val="0"/>
        <w:spacing w:line="360" w:lineRule="auto"/>
        <w:ind w:firstLine="420"/>
        <w:jc w:val="left"/>
        <w:rPr>
          <w:rFonts w:ascii="宋体" w:hAnsi="宋体"/>
          <w:color w:val="auto"/>
          <w:szCs w:val="21"/>
          <w:highlight w:val="none"/>
        </w:rPr>
      </w:pPr>
      <w:r>
        <w:rPr>
          <w:rFonts w:hint="eastAsia" w:ascii="宋体" w:hAnsi="宋体"/>
          <w:color w:val="auto"/>
          <w:szCs w:val="21"/>
          <w:highlight w:val="none"/>
          <w:lang w:val="en-US" w:eastAsia="zh-CN"/>
        </w:rPr>
        <w:t>3</w:t>
      </w:r>
      <w:r>
        <w:rPr>
          <w:rFonts w:ascii="宋体" w:hAnsi="宋体"/>
          <w:color w:val="auto"/>
          <w:szCs w:val="21"/>
          <w:highlight w:val="none"/>
        </w:rPr>
        <w:t>.</w:t>
      </w:r>
      <w:r>
        <w:rPr>
          <w:rFonts w:hint="eastAsia" w:ascii="宋体" w:hAnsi="宋体"/>
          <w:color w:val="auto"/>
          <w:szCs w:val="21"/>
          <w:highlight w:val="none"/>
        </w:rPr>
        <w:t xml:space="preserve"> 单位负责人为同一人或者存在直接控股、管理关系的不同供应商，不得参加同一合同项下的采购活动，不得再参加本项目上述服务以外的其他采购活动；</w:t>
      </w:r>
    </w:p>
    <w:p w14:paraId="648DC22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ascii="宋体" w:hAnsi="宋体"/>
          <w:color w:val="auto"/>
          <w:szCs w:val="21"/>
          <w:highlight w:val="none"/>
        </w:rPr>
        <w:t>.</w:t>
      </w:r>
      <w:r>
        <w:rPr>
          <w:rFonts w:hint="eastAsia" w:ascii="宋体" w:hAnsi="宋体"/>
          <w:color w:val="auto"/>
          <w:szCs w:val="21"/>
          <w:highlight w:val="none"/>
        </w:rPr>
        <w:t xml:space="preserve"> 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采购活动。</w:t>
      </w:r>
    </w:p>
    <w:p w14:paraId="2D5D6B38">
      <w:pPr>
        <w:pStyle w:val="3"/>
        <w:spacing w:before="0" w:after="0" w:line="360" w:lineRule="auto"/>
        <w:ind w:firstLine="482" w:firstLineChars="200"/>
        <w:rPr>
          <w:rFonts w:ascii="黑体" w:hAnsi="黑体" w:eastAsia="黑体" w:cs="宋体"/>
          <w:bCs w:val="0"/>
          <w:color w:val="auto"/>
          <w:sz w:val="24"/>
          <w:szCs w:val="24"/>
          <w:highlight w:val="none"/>
        </w:rPr>
      </w:pPr>
      <w:bookmarkStart w:id="32" w:name="_Toc17895"/>
      <w:r>
        <w:rPr>
          <w:rFonts w:hint="eastAsia" w:ascii="黑体" w:hAnsi="黑体" w:eastAsia="黑体" w:cs="宋体"/>
          <w:bCs w:val="0"/>
          <w:color w:val="auto"/>
          <w:sz w:val="24"/>
          <w:szCs w:val="24"/>
          <w:highlight w:val="none"/>
        </w:rPr>
        <w:t>三、获取竞争性磋商文件</w:t>
      </w:r>
      <w:bookmarkEnd w:id="27"/>
      <w:bookmarkEnd w:id="28"/>
      <w:bookmarkEnd w:id="29"/>
      <w:bookmarkEnd w:id="30"/>
      <w:bookmarkEnd w:id="31"/>
      <w:bookmarkEnd w:id="32"/>
    </w:p>
    <w:p w14:paraId="73E70727">
      <w:pPr>
        <w:spacing w:line="360" w:lineRule="auto"/>
        <w:ind w:firstLine="540"/>
        <w:rPr>
          <w:rFonts w:ascii="宋体" w:hAnsi="宋体" w:cs="宋体"/>
          <w:bCs/>
          <w:color w:val="auto"/>
          <w:kern w:val="0"/>
          <w:szCs w:val="21"/>
          <w:highlight w:val="none"/>
        </w:rPr>
      </w:pPr>
      <w:r>
        <w:rPr>
          <w:rFonts w:hint="eastAsia" w:ascii="宋体" w:hAnsi="宋体" w:cs="宋体"/>
          <w:bCs/>
          <w:color w:val="auto"/>
          <w:kern w:val="0"/>
          <w:szCs w:val="21"/>
          <w:highlight w:val="none"/>
        </w:rPr>
        <w:t>时间：</w:t>
      </w:r>
      <w:r>
        <w:rPr>
          <w:rFonts w:hint="eastAsia" w:ascii="宋体" w:hAnsi="宋体" w:cs="宋体"/>
          <w:bCs/>
          <w:color w:val="auto"/>
          <w:kern w:val="0"/>
          <w:szCs w:val="21"/>
          <w:highlight w:val="none"/>
          <w:lang w:eastAsia="zh-CN"/>
        </w:rPr>
        <w:t>2025年6月</w:t>
      </w:r>
      <w:r>
        <w:rPr>
          <w:rFonts w:hint="eastAsia" w:ascii="宋体" w:hAnsi="宋体" w:cs="宋体"/>
          <w:bCs/>
          <w:color w:val="auto"/>
          <w:kern w:val="0"/>
          <w:szCs w:val="21"/>
          <w:highlight w:val="none"/>
          <w:lang w:val="en-US" w:eastAsia="zh-CN"/>
        </w:rPr>
        <w:t>18</w:t>
      </w:r>
      <w:r>
        <w:rPr>
          <w:rFonts w:hint="eastAsia" w:ascii="宋体" w:hAnsi="宋体" w:cs="宋体"/>
          <w:bCs/>
          <w:color w:val="auto"/>
          <w:kern w:val="0"/>
          <w:szCs w:val="21"/>
          <w:highlight w:val="none"/>
          <w:lang w:eastAsia="zh-CN"/>
        </w:rPr>
        <w:t>日</w:t>
      </w:r>
      <w:r>
        <w:rPr>
          <w:rFonts w:hint="eastAsia" w:ascii="宋体" w:hAnsi="宋体" w:cs="宋体"/>
          <w:bCs/>
          <w:color w:val="auto"/>
          <w:kern w:val="0"/>
          <w:szCs w:val="21"/>
          <w:highlight w:val="none"/>
        </w:rPr>
        <w:t>至</w:t>
      </w:r>
      <w:r>
        <w:rPr>
          <w:rFonts w:hint="eastAsia" w:ascii="宋体" w:hAnsi="宋体" w:cs="宋体"/>
          <w:bCs/>
          <w:color w:val="auto"/>
          <w:kern w:val="0"/>
          <w:szCs w:val="21"/>
          <w:highlight w:val="none"/>
          <w:lang w:eastAsia="zh-CN"/>
        </w:rPr>
        <w:t>2025年6月</w:t>
      </w:r>
      <w:r>
        <w:rPr>
          <w:rFonts w:hint="eastAsia" w:ascii="宋体" w:hAnsi="宋体" w:cs="宋体"/>
          <w:bCs/>
          <w:color w:val="auto"/>
          <w:kern w:val="0"/>
          <w:szCs w:val="21"/>
          <w:highlight w:val="none"/>
          <w:lang w:val="en-US" w:eastAsia="zh-CN"/>
        </w:rPr>
        <w:t>24</w:t>
      </w:r>
      <w:r>
        <w:rPr>
          <w:rFonts w:hint="eastAsia" w:ascii="宋体" w:hAnsi="宋体" w:cs="宋体"/>
          <w:bCs/>
          <w:color w:val="auto"/>
          <w:kern w:val="0"/>
          <w:szCs w:val="21"/>
          <w:highlight w:val="none"/>
          <w:lang w:val="en-US" w:eastAsia="zh-CN"/>
        </w:rPr>
        <w:t xml:space="preserve"> </w:t>
      </w:r>
      <w:r>
        <w:rPr>
          <w:rFonts w:hint="eastAsia" w:ascii="宋体" w:hAnsi="宋体" w:cs="宋体"/>
          <w:bCs/>
          <w:color w:val="auto"/>
          <w:kern w:val="0"/>
          <w:szCs w:val="21"/>
          <w:highlight w:val="none"/>
        </w:rPr>
        <w:t>日（提供期限自本公告发布之日起不得少于5个工作日），每天上午8时至12时，下午15时至18时（北京时间，法定节假日除外）</w:t>
      </w:r>
    </w:p>
    <w:p w14:paraId="010A4BC6">
      <w:pPr>
        <w:spacing w:line="360" w:lineRule="auto"/>
        <w:ind w:firstLine="540"/>
        <w:rPr>
          <w:rFonts w:ascii="宋体" w:hAnsi="宋体" w:cs="宋体"/>
          <w:bCs/>
          <w:color w:val="auto"/>
          <w:kern w:val="0"/>
          <w:szCs w:val="21"/>
          <w:highlight w:val="none"/>
        </w:rPr>
      </w:pPr>
      <w:r>
        <w:rPr>
          <w:rFonts w:hint="eastAsia" w:ascii="宋体" w:hAnsi="宋体" w:cs="宋体"/>
          <w:bCs/>
          <w:color w:val="auto"/>
          <w:kern w:val="0"/>
          <w:szCs w:val="21"/>
          <w:highlight w:val="none"/>
        </w:rPr>
        <w:t>地点：</w:t>
      </w:r>
      <w:r>
        <w:rPr>
          <w:rFonts w:hint="eastAsia" w:ascii="宋体" w:hAnsi="宋体" w:cs="宋体"/>
          <w:bCs/>
          <w:color w:val="auto"/>
          <w:kern w:val="0"/>
          <w:szCs w:val="21"/>
          <w:highlight w:val="none"/>
          <w:lang w:eastAsia="zh-CN"/>
        </w:rPr>
        <w:t>广西崇善项目咨询有限公司</w:t>
      </w:r>
      <w:r>
        <w:rPr>
          <w:rFonts w:hint="eastAsia" w:ascii="宋体" w:hAnsi="宋体" w:cs="宋体"/>
          <w:bCs/>
          <w:color w:val="auto"/>
          <w:kern w:val="0"/>
          <w:szCs w:val="21"/>
          <w:highlight w:val="none"/>
        </w:rPr>
        <w:t>【</w:t>
      </w:r>
      <w:r>
        <w:rPr>
          <w:rFonts w:hint="eastAsia" w:ascii="宋体" w:hAnsi="宋体" w:cs="宋体"/>
          <w:bCs/>
          <w:color w:val="auto"/>
          <w:kern w:val="0"/>
          <w:szCs w:val="21"/>
          <w:highlight w:val="none"/>
          <w:lang w:eastAsia="zh-CN"/>
        </w:rPr>
        <w:t>崇左市江州区城南区新城路西段南侧（阳光名邸）第C4栋103号</w:t>
      </w:r>
      <w:r>
        <w:rPr>
          <w:rFonts w:hint="eastAsia" w:ascii="宋体" w:hAnsi="宋体" w:cs="宋体"/>
          <w:bCs/>
          <w:color w:val="auto"/>
          <w:kern w:val="0"/>
          <w:szCs w:val="21"/>
          <w:highlight w:val="none"/>
        </w:rPr>
        <w:t>】</w:t>
      </w:r>
    </w:p>
    <w:p w14:paraId="03098DED">
      <w:pPr>
        <w:spacing w:line="360" w:lineRule="auto"/>
        <w:ind w:firstLine="540"/>
        <w:rPr>
          <w:rFonts w:ascii="宋体" w:hAnsi="宋体" w:cs="宋体"/>
          <w:bCs/>
          <w:color w:val="auto"/>
          <w:kern w:val="0"/>
          <w:szCs w:val="21"/>
          <w:highlight w:val="none"/>
        </w:rPr>
      </w:pPr>
      <w:r>
        <w:rPr>
          <w:rFonts w:hint="eastAsia" w:ascii="宋体" w:hAnsi="宋体" w:cs="宋体"/>
          <w:bCs/>
          <w:color w:val="auto"/>
          <w:kern w:val="0"/>
          <w:szCs w:val="21"/>
          <w:highlight w:val="none"/>
        </w:rPr>
        <w:t>方式：</w:t>
      </w:r>
      <w:r>
        <w:rPr>
          <w:rFonts w:hint="eastAsia" w:ascii="宋体" w:hAnsi="宋体" w:cs="宋体"/>
          <w:color w:val="auto"/>
          <w:szCs w:val="21"/>
          <w:highlight w:val="none"/>
        </w:rPr>
        <w:t>符合上述条件的竞标人，须由法定代表人或代理人携带身份证原件前来购买采购文件，并携带如下资料一份:（1）介绍信原件和法定代表人身份证明书；（2）企业法定代表人有效的委托书原件（委托代理时）和身份证复印件；【注：以上资料复印件的均要求为一次复印件并需加盖单位公章，只有材料齐全且有效方可获取竞争性磋商文件】不满足上述要求的将被拒绝</w:t>
      </w:r>
    </w:p>
    <w:p w14:paraId="209669E8">
      <w:pPr>
        <w:spacing w:line="360" w:lineRule="auto"/>
        <w:ind w:left="567" w:leftChars="270"/>
        <w:rPr>
          <w:rFonts w:ascii="宋体" w:hAnsi="宋体" w:cs="宋体"/>
          <w:color w:val="auto"/>
          <w:szCs w:val="21"/>
          <w:highlight w:val="none"/>
        </w:rPr>
      </w:pPr>
      <w:r>
        <w:rPr>
          <w:rFonts w:hint="eastAsia" w:ascii="宋体" w:hAnsi="宋体" w:cs="宋体"/>
          <w:bCs/>
          <w:color w:val="auto"/>
          <w:kern w:val="0"/>
          <w:szCs w:val="21"/>
          <w:highlight w:val="none"/>
        </w:rPr>
        <w:t>售价：</w:t>
      </w:r>
      <w:r>
        <w:rPr>
          <w:rFonts w:hint="eastAsia" w:ascii="宋体" w:hAnsi="宋体" w:cs="宋体"/>
          <w:color w:val="auto"/>
          <w:szCs w:val="21"/>
          <w:highlight w:val="none"/>
        </w:rPr>
        <w:t>工本费每本</w:t>
      </w:r>
      <w:r>
        <w:rPr>
          <w:rFonts w:ascii="宋体" w:hAnsi="宋体" w:cs="宋体"/>
          <w:color w:val="auto"/>
          <w:szCs w:val="21"/>
          <w:highlight w:val="none"/>
        </w:rPr>
        <w:t>3</w:t>
      </w:r>
      <w:r>
        <w:rPr>
          <w:rFonts w:hint="eastAsia" w:ascii="宋体" w:hAnsi="宋体" w:cs="宋体"/>
          <w:color w:val="auto"/>
          <w:szCs w:val="21"/>
          <w:highlight w:val="none"/>
        </w:rPr>
        <w:t>00.00元，不提供电子版，售后不退</w:t>
      </w:r>
    </w:p>
    <w:p w14:paraId="4569C015">
      <w:pPr>
        <w:pStyle w:val="3"/>
        <w:spacing w:before="0" w:after="0" w:line="360" w:lineRule="auto"/>
        <w:ind w:firstLine="482" w:firstLineChars="200"/>
        <w:rPr>
          <w:rFonts w:ascii="黑体" w:hAnsi="黑体" w:eastAsia="黑体" w:cs="宋体"/>
          <w:bCs w:val="0"/>
          <w:color w:val="auto"/>
          <w:sz w:val="24"/>
          <w:szCs w:val="24"/>
          <w:highlight w:val="none"/>
        </w:rPr>
      </w:pPr>
      <w:bookmarkStart w:id="33" w:name="_Toc35393632"/>
      <w:bookmarkStart w:id="34" w:name="_Toc44229881"/>
      <w:bookmarkStart w:id="35" w:name="_Toc4571"/>
      <w:bookmarkStart w:id="36" w:name="_Toc28359015"/>
      <w:bookmarkStart w:id="37" w:name="_Toc28359092"/>
      <w:bookmarkStart w:id="38" w:name="_Toc35393801"/>
      <w:r>
        <w:rPr>
          <w:rFonts w:hint="eastAsia" w:ascii="黑体" w:hAnsi="黑体" w:eastAsia="黑体" w:cs="宋体"/>
          <w:bCs w:val="0"/>
          <w:color w:val="auto"/>
          <w:sz w:val="24"/>
          <w:szCs w:val="24"/>
          <w:highlight w:val="none"/>
        </w:rPr>
        <w:t>四、响应文件提交</w:t>
      </w:r>
      <w:bookmarkEnd w:id="33"/>
      <w:bookmarkEnd w:id="34"/>
      <w:bookmarkEnd w:id="35"/>
      <w:bookmarkEnd w:id="36"/>
      <w:bookmarkEnd w:id="37"/>
      <w:bookmarkEnd w:id="38"/>
    </w:p>
    <w:p w14:paraId="04FACC2C">
      <w:pPr>
        <w:spacing w:line="360" w:lineRule="auto"/>
        <w:ind w:firstLine="420" w:firstLineChars="200"/>
        <w:rPr>
          <w:rFonts w:ascii="宋体" w:hAnsi="宋体" w:cs="宋体"/>
          <w:color w:val="auto"/>
          <w:szCs w:val="21"/>
          <w:highlight w:val="none"/>
        </w:rPr>
      </w:pPr>
      <w:bookmarkStart w:id="39" w:name="_Toc35393802"/>
      <w:bookmarkStart w:id="40" w:name="_Toc28359093"/>
      <w:bookmarkStart w:id="41" w:name="_Toc35393633"/>
      <w:bookmarkStart w:id="42" w:name="_Toc44229882"/>
      <w:bookmarkStart w:id="43" w:name="_Toc28359016"/>
      <w:r>
        <w:rPr>
          <w:rFonts w:hint="eastAsia" w:ascii="宋体" w:hAnsi="宋体"/>
          <w:color w:val="auto"/>
          <w:szCs w:val="21"/>
          <w:highlight w:val="none"/>
        </w:rPr>
        <w:t>首次响应文件提交截止时间</w:t>
      </w:r>
      <w:r>
        <w:rPr>
          <w:rFonts w:hint="eastAsia" w:ascii="宋体" w:hAnsi="宋体"/>
          <w:bCs/>
          <w:color w:val="auto"/>
          <w:szCs w:val="21"/>
          <w:highlight w:val="none"/>
        </w:rPr>
        <w:t>（北京时间）</w:t>
      </w:r>
      <w:r>
        <w:rPr>
          <w:rFonts w:hint="eastAsia" w:ascii="宋体" w:hAnsi="宋体"/>
          <w:color w:val="auto"/>
          <w:szCs w:val="21"/>
          <w:highlight w:val="none"/>
        </w:rPr>
        <w:t>：</w:t>
      </w:r>
      <w:r>
        <w:rPr>
          <w:rFonts w:hint="eastAsia" w:ascii="宋体" w:hAnsi="宋体"/>
          <w:color w:val="auto"/>
          <w:szCs w:val="21"/>
          <w:highlight w:val="none"/>
          <w:lang w:eastAsia="zh-CN"/>
        </w:rPr>
        <w:t>2025年6月30日8时30分</w:t>
      </w:r>
      <w:r>
        <w:rPr>
          <w:rFonts w:hint="eastAsia" w:ascii="宋体" w:hAnsi="宋体" w:cs="宋体"/>
          <w:color w:val="auto"/>
          <w:szCs w:val="21"/>
          <w:highlight w:val="none"/>
        </w:rPr>
        <w:t>（从磋商文件开始发出之日起至供应商提交首次响应文件截止之日止不得少于10日）</w:t>
      </w:r>
    </w:p>
    <w:p w14:paraId="24776A62">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首次响应文件提交地点：</w:t>
      </w:r>
      <w:r>
        <w:rPr>
          <w:rFonts w:hint="eastAsia" w:ascii="宋体" w:hAnsi="宋体" w:cs="宋体"/>
          <w:bCs/>
          <w:color w:val="auto"/>
          <w:kern w:val="0"/>
          <w:szCs w:val="21"/>
          <w:highlight w:val="none"/>
          <w:lang w:eastAsia="zh-CN"/>
        </w:rPr>
        <w:t>广西崇善项目咨询有限公司</w:t>
      </w:r>
      <w:r>
        <w:rPr>
          <w:rFonts w:hint="eastAsia" w:ascii="宋体" w:hAnsi="宋体" w:cs="宋体"/>
          <w:bCs/>
          <w:color w:val="auto"/>
          <w:kern w:val="0"/>
          <w:szCs w:val="21"/>
          <w:highlight w:val="none"/>
        </w:rPr>
        <w:t>【</w:t>
      </w:r>
      <w:r>
        <w:rPr>
          <w:rFonts w:hint="eastAsia" w:ascii="宋体" w:hAnsi="宋体" w:cs="宋体"/>
          <w:bCs/>
          <w:color w:val="auto"/>
          <w:kern w:val="0"/>
          <w:szCs w:val="21"/>
          <w:highlight w:val="none"/>
          <w:lang w:eastAsia="zh-CN"/>
        </w:rPr>
        <w:t>崇左市江州区城南区新城路西段南侧（阳光名邸）第C4栋103号</w:t>
      </w:r>
      <w:r>
        <w:rPr>
          <w:rFonts w:hint="eastAsia" w:ascii="宋体" w:hAnsi="宋体" w:cs="宋体"/>
          <w:bCs/>
          <w:color w:val="auto"/>
          <w:kern w:val="0"/>
          <w:szCs w:val="21"/>
          <w:highlight w:val="none"/>
        </w:rPr>
        <w:t>】</w:t>
      </w:r>
    </w:p>
    <w:p w14:paraId="14390680">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1.供应商必须在首次响应文件提交截止时间前，将响应文件密封送达首次响应文件提交地点。首次响应文件提交起止时间（北京时间）：自采购文件获取之日起至</w:t>
      </w:r>
      <w:r>
        <w:rPr>
          <w:rFonts w:hint="eastAsia" w:ascii="宋体" w:hAnsi="宋体"/>
          <w:bCs/>
          <w:color w:val="auto"/>
          <w:szCs w:val="21"/>
          <w:highlight w:val="none"/>
          <w:lang w:eastAsia="zh-CN"/>
        </w:rPr>
        <w:t>2025年6月30日8时30分</w:t>
      </w:r>
      <w:r>
        <w:rPr>
          <w:rFonts w:hint="eastAsia" w:ascii="宋体" w:hAnsi="宋体"/>
          <w:bCs/>
          <w:color w:val="auto"/>
          <w:szCs w:val="21"/>
          <w:highlight w:val="none"/>
        </w:rPr>
        <w:t>。</w:t>
      </w:r>
    </w:p>
    <w:p w14:paraId="6ABB0841">
      <w:pPr>
        <w:spacing w:line="360" w:lineRule="auto"/>
        <w:ind w:firstLine="420" w:firstLineChars="200"/>
        <w:rPr>
          <w:rFonts w:ascii="宋体" w:hAnsi="宋体"/>
          <w:bCs/>
          <w:color w:val="auto"/>
          <w:szCs w:val="21"/>
          <w:highlight w:val="none"/>
        </w:rPr>
      </w:pPr>
      <w:r>
        <w:rPr>
          <w:rFonts w:hint="eastAsia" w:ascii="宋体" w:hAnsi="宋体"/>
          <w:color w:val="auto"/>
          <w:szCs w:val="21"/>
          <w:highlight w:val="none"/>
        </w:rPr>
        <w:t>2.采用邮寄方式提交的，需遵守以下规定：（供应商自愿承担在邮寄过程中出现的文件破损，延迟送达等问题，并默认开标结果）。</w:t>
      </w:r>
    </w:p>
    <w:p w14:paraId="2438A8D1">
      <w:pPr>
        <w:pStyle w:val="3"/>
        <w:spacing w:before="0" w:after="0" w:line="360" w:lineRule="auto"/>
        <w:ind w:firstLine="420" w:firstLineChars="200"/>
        <w:rPr>
          <w:rFonts w:ascii="宋体" w:hAnsi="宋体"/>
          <w:b w:val="0"/>
          <w:bCs w:val="0"/>
          <w:color w:val="auto"/>
          <w:sz w:val="21"/>
          <w:szCs w:val="21"/>
          <w:highlight w:val="none"/>
        </w:rPr>
      </w:pPr>
      <w:bookmarkStart w:id="44" w:name="_Toc19667"/>
      <w:r>
        <w:rPr>
          <w:rFonts w:hint="eastAsia" w:ascii="宋体" w:hAnsi="宋体"/>
          <w:b w:val="0"/>
          <w:bCs w:val="0"/>
          <w:color w:val="auto"/>
          <w:sz w:val="21"/>
          <w:szCs w:val="21"/>
          <w:highlight w:val="none"/>
        </w:rPr>
        <w:t>注：未在规定时间内送达或者未按照竞争性磋商文件要求密封的响应文件，将予以拒收。</w:t>
      </w:r>
      <w:bookmarkEnd w:id="44"/>
    </w:p>
    <w:p w14:paraId="2CB10F6D">
      <w:pPr>
        <w:pStyle w:val="3"/>
        <w:spacing w:before="0" w:after="0" w:line="360" w:lineRule="auto"/>
        <w:ind w:firstLine="482" w:firstLineChars="200"/>
        <w:rPr>
          <w:rFonts w:ascii="黑体" w:hAnsi="黑体" w:eastAsia="黑体" w:cs="宋体"/>
          <w:bCs w:val="0"/>
          <w:color w:val="auto"/>
          <w:sz w:val="24"/>
          <w:szCs w:val="24"/>
          <w:highlight w:val="none"/>
        </w:rPr>
      </w:pPr>
      <w:bookmarkStart w:id="45" w:name="_Toc12639"/>
      <w:r>
        <w:rPr>
          <w:rFonts w:hint="eastAsia" w:ascii="黑体" w:hAnsi="黑体" w:eastAsia="黑体" w:cs="宋体"/>
          <w:bCs w:val="0"/>
          <w:color w:val="auto"/>
          <w:sz w:val="24"/>
          <w:szCs w:val="24"/>
          <w:highlight w:val="none"/>
        </w:rPr>
        <w:t>五、开启</w:t>
      </w:r>
      <w:bookmarkEnd w:id="39"/>
      <w:bookmarkEnd w:id="40"/>
      <w:bookmarkEnd w:id="41"/>
      <w:bookmarkEnd w:id="42"/>
      <w:bookmarkEnd w:id="43"/>
      <w:bookmarkEnd w:id="45"/>
    </w:p>
    <w:p w14:paraId="1FA9969A">
      <w:pPr>
        <w:spacing w:line="360" w:lineRule="auto"/>
        <w:ind w:firstLine="420" w:firstLineChars="200"/>
        <w:rPr>
          <w:rFonts w:ascii="宋体" w:hAnsi="宋体"/>
          <w:bCs/>
          <w:color w:val="auto"/>
          <w:szCs w:val="21"/>
          <w:highlight w:val="none"/>
          <w:u w:val="single"/>
        </w:rPr>
      </w:pPr>
      <w:r>
        <w:rPr>
          <w:rFonts w:hint="eastAsia" w:ascii="宋体" w:hAnsi="宋体"/>
          <w:color w:val="auto"/>
          <w:szCs w:val="21"/>
          <w:highlight w:val="none"/>
        </w:rPr>
        <w:t>1</w:t>
      </w:r>
      <w:r>
        <w:rPr>
          <w:rFonts w:ascii="宋体" w:hAnsi="宋体"/>
          <w:color w:val="auto"/>
          <w:szCs w:val="21"/>
          <w:highlight w:val="none"/>
        </w:rPr>
        <w:t>.</w:t>
      </w:r>
      <w:r>
        <w:rPr>
          <w:rFonts w:hint="eastAsia" w:ascii="宋体" w:hAnsi="宋体"/>
          <w:color w:val="auto"/>
          <w:szCs w:val="21"/>
          <w:highlight w:val="none"/>
        </w:rPr>
        <w:t>时间</w:t>
      </w:r>
      <w:r>
        <w:rPr>
          <w:rFonts w:hint="eastAsia" w:ascii="宋体" w:hAnsi="宋体"/>
          <w:bCs/>
          <w:color w:val="auto"/>
          <w:szCs w:val="21"/>
          <w:highlight w:val="none"/>
        </w:rPr>
        <w:t>（北京时间）</w:t>
      </w:r>
      <w:r>
        <w:rPr>
          <w:rFonts w:hint="eastAsia" w:ascii="宋体" w:hAnsi="宋体"/>
          <w:color w:val="auto"/>
          <w:szCs w:val="21"/>
          <w:highlight w:val="none"/>
        </w:rPr>
        <w:t>：</w:t>
      </w:r>
      <w:r>
        <w:rPr>
          <w:rFonts w:hint="eastAsia" w:ascii="宋体" w:hAnsi="宋体"/>
          <w:color w:val="auto"/>
          <w:szCs w:val="21"/>
          <w:highlight w:val="none"/>
          <w:u w:val="single"/>
          <w:lang w:eastAsia="zh-CN"/>
        </w:rPr>
        <w:t>2025年6月30日8时30分</w:t>
      </w:r>
      <w:r>
        <w:rPr>
          <w:rFonts w:hint="eastAsia" w:ascii="宋体" w:hAnsi="宋体"/>
          <w:color w:val="auto"/>
          <w:szCs w:val="21"/>
          <w:highlight w:val="none"/>
        </w:rPr>
        <w:t>后</w:t>
      </w:r>
    </w:p>
    <w:p w14:paraId="480348CB">
      <w:pPr>
        <w:spacing w:line="360" w:lineRule="auto"/>
        <w:ind w:firstLine="420" w:firstLineChars="200"/>
        <w:rPr>
          <w:rFonts w:ascii="宋体" w:hAnsi="宋体"/>
          <w:bCs/>
          <w:color w:val="auto"/>
          <w:szCs w:val="21"/>
          <w:highlight w:val="none"/>
          <w:u w:val="singl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地点：</w:t>
      </w:r>
      <w:r>
        <w:rPr>
          <w:rFonts w:hint="eastAsia" w:ascii="宋体" w:hAnsi="宋体" w:cs="宋体"/>
          <w:bCs/>
          <w:color w:val="auto"/>
          <w:kern w:val="0"/>
          <w:szCs w:val="21"/>
          <w:highlight w:val="none"/>
          <w:lang w:eastAsia="zh-CN"/>
        </w:rPr>
        <w:t>广西崇善项目咨询有限公司</w:t>
      </w:r>
      <w:r>
        <w:rPr>
          <w:rFonts w:hint="eastAsia" w:ascii="宋体" w:hAnsi="宋体" w:cs="宋体"/>
          <w:bCs/>
          <w:color w:val="auto"/>
          <w:kern w:val="0"/>
          <w:szCs w:val="21"/>
          <w:highlight w:val="none"/>
        </w:rPr>
        <w:t>【</w:t>
      </w:r>
      <w:r>
        <w:rPr>
          <w:rFonts w:hint="eastAsia" w:ascii="宋体" w:hAnsi="宋体" w:cs="宋体"/>
          <w:bCs/>
          <w:color w:val="auto"/>
          <w:kern w:val="0"/>
          <w:szCs w:val="21"/>
          <w:highlight w:val="none"/>
          <w:lang w:eastAsia="zh-CN"/>
        </w:rPr>
        <w:t>崇左市江州区城南区新城路西段南侧（阳光名邸）第C4栋103号</w:t>
      </w:r>
      <w:r>
        <w:rPr>
          <w:rFonts w:hint="eastAsia" w:ascii="宋体" w:hAnsi="宋体" w:cs="宋体"/>
          <w:bCs/>
          <w:color w:val="auto"/>
          <w:kern w:val="0"/>
          <w:szCs w:val="21"/>
          <w:highlight w:val="none"/>
        </w:rPr>
        <w:t>】</w:t>
      </w:r>
    </w:p>
    <w:p w14:paraId="410C6C16">
      <w:pPr>
        <w:pStyle w:val="3"/>
        <w:tabs>
          <w:tab w:val="left" w:pos="377"/>
        </w:tabs>
        <w:spacing w:before="0" w:after="0" w:line="360" w:lineRule="auto"/>
        <w:ind w:firstLine="422" w:firstLineChars="200"/>
        <w:rPr>
          <w:rFonts w:hint="eastAsia" w:ascii="宋体" w:hAnsi="宋体" w:eastAsia="宋体" w:cs="宋体"/>
          <w:b/>
          <w:bCs w:val="0"/>
          <w:color w:val="auto"/>
          <w:sz w:val="21"/>
          <w:szCs w:val="21"/>
          <w:highlight w:val="none"/>
        </w:rPr>
      </w:pPr>
      <w:bookmarkStart w:id="46" w:name="_Toc44229883"/>
      <w:bookmarkStart w:id="47" w:name="_Toc28359094"/>
      <w:bookmarkStart w:id="48" w:name="_Toc28359017"/>
      <w:bookmarkStart w:id="49" w:name="_Toc11662"/>
      <w:bookmarkStart w:id="50" w:name="_Toc35393803"/>
      <w:bookmarkStart w:id="51" w:name="_Toc35393634"/>
      <w:r>
        <w:rPr>
          <w:rFonts w:hint="eastAsia" w:ascii="宋体" w:hAnsi="宋体" w:eastAsia="宋体" w:cs="宋体"/>
          <w:b/>
          <w:bCs w:val="0"/>
          <w:color w:val="auto"/>
          <w:sz w:val="21"/>
          <w:szCs w:val="21"/>
          <w:highlight w:val="none"/>
        </w:rPr>
        <w:t>六、公告期限</w:t>
      </w:r>
      <w:bookmarkEnd w:id="46"/>
      <w:bookmarkEnd w:id="47"/>
      <w:bookmarkEnd w:id="48"/>
      <w:bookmarkEnd w:id="49"/>
      <w:bookmarkEnd w:id="50"/>
      <w:bookmarkEnd w:id="51"/>
    </w:p>
    <w:p w14:paraId="149B67C1">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自本公告发布之日起5个工作日。</w:t>
      </w:r>
    </w:p>
    <w:p w14:paraId="28E80FD6">
      <w:pPr>
        <w:pStyle w:val="3"/>
        <w:spacing w:before="0" w:after="0" w:line="360" w:lineRule="auto"/>
        <w:ind w:firstLine="422" w:firstLineChars="200"/>
        <w:rPr>
          <w:rFonts w:hint="eastAsia" w:ascii="宋体" w:hAnsi="宋体" w:eastAsia="宋体" w:cs="宋体"/>
          <w:b/>
          <w:bCs w:val="0"/>
          <w:color w:val="auto"/>
          <w:sz w:val="21"/>
          <w:szCs w:val="21"/>
          <w:highlight w:val="none"/>
        </w:rPr>
      </w:pPr>
      <w:bookmarkStart w:id="52" w:name="_Toc44229884"/>
      <w:bookmarkStart w:id="53" w:name="_Toc35393635"/>
      <w:bookmarkStart w:id="54" w:name="_Toc35393804"/>
      <w:bookmarkStart w:id="55" w:name="_Toc15613"/>
      <w:r>
        <w:rPr>
          <w:rFonts w:hint="eastAsia" w:ascii="宋体" w:hAnsi="宋体" w:eastAsia="宋体" w:cs="宋体"/>
          <w:b/>
          <w:bCs w:val="0"/>
          <w:color w:val="auto"/>
          <w:sz w:val="21"/>
          <w:szCs w:val="21"/>
          <w:highlight w:val="none"/>
        </w:rPr>
        <w:t>七、其他补充事宜</w:t>
      </w:r>
      <w:bookmarkEnd w:id="52"/>
      <w:bookmarkEnd w:id="53"/>
      <w:bookmarkEnd w:id="54"/>
      <w:bookmarkEnd w:id="55"/>
    </w:p>
    <w:p w14:paraId="0168FE26">
      <w:pPr>
        <w:widowControl/>
        <w:jc w:val="left"/>
        <w:rPr>
          <w:rFonts w:hint="eastAsia" w:ascii="宋体" w:hAnsi="宋体" w:eastAsia="宋体" w:cs="宋体"/>
          <w:color w:val="auto"/>
          <w:sz w:val="21"/>
          <w:szCs w:val="21"/>
          <w:highlight w:val="none"/>
        </w:rPr>
      </w:pPr>
      <w:r>
        <w:rPr>
          <w:rFonts w:hint="eastAsia" w:ascii="宋体" w:hAnsi="宋体" w:eastAsia="宋体" w:cs="宋体"/>
          <w:i w:val="0"/>
          <w:caps w:val="0"/>
          <w:color w:val="auto"/>
          <w:spacing w:val="0"/>
          <w:kern w:val="0"/>
          <w:sz w:val="21"/>
          <w:szCs w:val="21"/>
          <w:highlight w:val="none"/>
          <w:u w:val="none"/>
          <w:lang w:val="en-US" w:eastAsia="zh-CN" w:bidi="ar"/>
        </w:rPr>
        <w:t xml:space="preserve">     本次公告同时在中国招标投标公共服务平台、广西壮族自治区招标投标公共服务平台、中国采购与招标网、广西崇左市城市工业投资发展集团有限公司官网发布。</w:t>
      </w:r>
    </w:p>
    <w:p w14:paraId="69B44B79">
      <w:pPr>
        <w:spacing w:line="360" w:lineRule="auto"/>
        <w:ind w:firstLine="420" w:firstLineChars="200"/>
        <w:rPr>
          <w:rFonts w:hint="eastAsia" w:ascii="宋体" w:hAnsi="宋体" w:eastAsia="宋体" w:cs="宋体"/>
          <w:color w:val="auto"/>
          <w:kern w:val="0"/>
          <w:sz w:val="21"/>
          <w:szCs w:val="21"/>
          <w:highlight w:val="none"/>
        </w:rPr>
      </w:pPr>
    </w:p>
    <w:p w14:paraId="44C04CC7">
      <w:pPr>
        <w:spacing w:line="360" w:lineRule="auto"/>
        <w:ind w:firstLine="482" w:firstLineChars="200"/>
        <w:rPr>
          <w:rFonts w:hint="eastAsia" w:ascii="黑体" w:hAnsi="黑体" w:eastAsia="黑体" w:cs="宋体"/>
          <w:b/>
          <w:bCs w:val="0"/>
          <w:color w:val="auto"/>
          <w:kern w:val="2"/>
          <w:sz w:val="24"/>
          <w:szCs w:val="24"/>
          <w:highlight w:val="none"/>
          <w:lang w:val="en-US" w:eastAsia="zh-CN" w:bidi="ar-SA"/>
        </w:rPr>
      </w:pPr>
      <w:bookmarkStart w:id="56" w:name="_Toc44229885"/>
      <w:bookmarkStart w:id="57" w:name="_Toc28359095"/>
      <w:bookmarkStart w:id="58" w:name="_Toc28359018"/>
      <w:bookmarkStart w:id="59" w:name="_Toc35393805"/>
      <w:bookmarkStart w:id="60" w:name="_Toc35393636"/>
      <w:r>
        <w:rPr>
          <w:rFonts w:hint="eastAsia" w:ascii="黑体" w:hAnsi="黑体" w:eastAsia="黑体" w:cs="宋体"/>
          <w:b/>
          <w:bCs w:val="0"/>
          <w:color w:val="auto"/>
          <w:kern w:val="2"/>
          <w:sz w:val="24"/>
          <w:szCs w:val="24"/>
          <w:highlight w:val="none"/>
          <w:lang w:val="en-US" w:eastAsia="zh-CN" w:bidi="ar-SA"/>
        </w:rPr>
        <w:t>八、凡对本次采购提出询问，请按以下方式联系。</w:t>
      </w:r>
      <w:bookmarkEnd w:id="56"/>
      <w:bookmarkEnd w:id="57"/>
      <w:bookmarkEnd w:id="58"/>
      <w:bookmarkEnd w:id="59"/>
      <w:bookmarkEnd w:id="60"/>
    </w:p>
    <w:bookmarkEnd w:id="14"/>
    <w:p w14:paraId="13299348">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cs="宋体"/>
          <w:color w:val="auto"/>
          <w:sz w:val="21"/>
          <w:szCs w:val="21"/>
          <w:highlight w:val="none"/>
          <w:lang w:eastAsia="zh-CN"/>
        </w:rPr>
      </w:pPr>
      <w:bookmarkStart w:id="61" w:name="_Toc28812_WPSOffice_Level1"/>
      <w:bookmarkStart w:id="62" w:name="_Toc2920_WPSOffice_Level1"/>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采购</w:t>
      </w:r>
      <w:r>
        <w:rPr>
          <w:rFonts w:hint="eastAsia" w:ascii="宋体" w:hAnsi="宋体" w:cs="宋体"/>
          <w:color w:val="auto"/>
          <w:sz w:val="21"/>
          <w:szCs w:val="21"/>
          <w:highlight w:val="none"/>
          <w:lang w:eastAsia="zh-CN"/>
        </w:rPr>
        <w:t>人信息</w:t>
      </w:r>
    </w:p>
    <w:p w14:paraId="1352F46F">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w:t>
      </w:r>
      <w:r>
        <w:rPr>
          <w:rFonts w:hint="eastAsia" w:ascii="宋体" w:hAnsi="宋体" w:eastAsia="宋体" w:cs="宋体"/>
          <w:color w:val="auto"/>
          <w:sz w:val="21"/>
          <w:szCs w:val="21"/>
          <w:highlight w:val="none"/>
          <w:lang w:eastAsia="zh-CN"/>
        </w:rPr>
        <w:t>称：</w:t>
      </w:r>
      <w:bookmarkEnd w:id="61"/>
      <w:bookmarkEnd w:id="62"/>
      <w:r>
        <w:rPr>
          <w:rFonts w:hint="eastAsia" w:ascii="宋体" w:hAnsi="宋体" w:cs="宋体"/>
          <w:color w:val="auto"/>
          <w:sz w:val="21"/>
          <w:szCs w:val="21"/>
          <w:highlight w:val="none"/>
          <w:lang w:eastAsia="zh-CN"/>
        </w:rPr>
        <w:t>广西中泰象郡建设投资有限公司</w:t>
      </w:r>
    </w:p>
    <w:p w14:paraId="5CE31361">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地址：</w:t>
      </w:r>
      <w:r>
        <w:rPr>
          <w:rFonts w:hint="eastAsia" w:ascii="宋体" w:hAnsi="宋体" w:cs="宋体"/>
          <w:color w:val="auto"/>
          <w:sz w:val="21"/>
          <w:szCs w:val="21"/>
          <w:highlight w:val="none"/>
          <w:lang w:val="en-US" w:eastAsia="zh-CN"/>
        </w:rPr>
        <w:t>广西崇左市中泰产业园工业大道1号企业服务中心4楼</w:t>
      </w:r>
    </w:p>
    <w:p w14:paraId="09C1CB4D">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项目</w:t>
      </w:r>
      <w:r>
        <w:rPr>
          <w:rFonts w:hint="eastAsia" w:ascii="宋体" w:hAnsi="宋体" w:eastAsia="宋体" w:cs="宋体"/>
          <w:color w:val="auto"/>
          <w:sz w:val="21"/>
          <w:szCs w:val="21"/>
          <w:highlight w:val="none"/>
          <w:lang w:eastAsia="zh-CN"/>
        </w:rPr>
        <w:t>联系人</w:t>
      </w:r>
      <w:r>
        <w:rPr>
          <w:rFonts w:hint="eastAsia" w:ascii="宋体" w:hAnsi="宋体" w:cs="宋体"/>
          <w:color w:val="auto"/>
          <w:sz w:val="21"/>
          <w:szCs w:val="21"/>
          <w:highlight w:val="none"/>
          <w:lang w:val="en-US" w:eastAsia="zh-CN"/>
        </w:rPr>
        <w:t>：邓建学</w:t>
      </w:r>
    </w:p>
    <w:p w14:paraId="5A5BC27E">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项目联系方式:0771-7824329</w:t>
      </w:r>
    </w:p>
    <w:p w14:paraId="132C4A6E">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outlineLvl w:val="9"/>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lang w:eastAsia="zh-CN"/>
        </w:rPr>
        <w:t>采购代理机构</w:t>
      </w:r>
      <w:r>
        <w:rPr>
          <w:rFonts w:hint="eastAsia" w:ascii="宋体" w:hAnsi="宋体" w:cs="宋体"/>
          <w:color w:val="auto"/>
          <w:sz w:val="21"/>
          <w:szCs w:val="21"/>
          <w:highlight w:val="none"/>
          <w:lang w:eastAsia="zh-CN"/>
        </w:rPr>
        <w:t>信息</w:t>
      </w:r>
    </w:p>
    <w:p w14:paraId="3F831F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名称</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广西崇善项目咨询有限公司</w:t>
      </w:r>
    </w:p>
    <w:p w14:paraId="513995D9">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地址：</w:t>
      </w:r>
      <w:r>
        <w:rPr>
          <w:rFonts w:hint="eastAsia" w:ascii="宋体" w:hAnsi="宋体" w:cs="宋体"/>
          <w:color w:val="auto"/>
          <w:sz w:val="21"/>
          <w:szCs w:val="21"/>
          <w:highlight w:val="none"/>
          <w:lang w:eastAsia="zh-CN"/>
        </w:rPr>
        <w:t>崇左市</w:t>
      </w:r>
      <w:r>
        <w:rPr>
          <w:rFonts w:hint="eastAsia" w:ascii="宋体" w:hAnsi="宋体" w:eastAsia="宋体" w:cs="宋体"/>
          <w:color w:val="auto"/>
          <w:sz w:val="21"/>
          <w:szCs w:val="21"/>
          <w:highlight w:val="none"/>
          <w:lang w:eastAsia="zh-CN"/>
        </w:rPr>
        <w:t>江州区城南区新城路西段南侧（阳光名邸）第C4栋103号</w:t>
      </w:r>
    </w:p>
    <w:p w14:paraId="62DEC58B">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项目联系人：</w:t>
      </w:r>
      <w:r>
        <w:rPr>
          <w:rFonts w:hint="eastAsia" w:ascii="宋体" w:hAnsi="宋体" w:eastAsia="宋体" w:cs="宋体"/>
          <w:color w:val="auto"/>
          <w:sz w:val="21"/>
          <w:szCs w:val="21"/>
          <w:highlight w:val="none"/>
          <w:lang w:val="en-US" w:eastAsia="zh-CN"/>
        </w:rPr>
        <w:t>庞青青</w:t>
      </w:r>
    </w:p>
    <w:p w14:paraId="0F8D1E3B">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项目联系方式:</w:t>
      </w:r>
      <w:r>
        <w:rPr>
          <w:rFonts w:hint="eastAsia" w:ascii="宋体" w:hAnsi="宋体" w:eastAsia="宋体" w:cs="宋体"/>
          <w:color w:val="auto"/>
          <w:sz w:val="21"/>
          <w:szCs w:val="21"/>
          <w:highlight w:val="none"/>
          <w:lang w:val="en-US" w:eastAsia="zh-CN"/>
        </w:rPr>
        <w:t>0771-</w:t>
      </w:r>
      <w:r>
        <w:rPr>
          <w:rFonts w:hint="eastAsia" w:ascii="宋体" w:hAnsi="宋体" w:eastAsia="宋体" w:cs="宋体"/>
          <w:color w:val="auto"/>
          <w:sz w:val="21"/>
          <w:szCs w:val="21"/>
          <w:highlight w:val="none"/>
          <w:lang w:eastAsia="zh-CN"/>
        </w:rPr>
        <w:t xml:space="preserve">5945100 </w:t>
      </w:r>
    </w:p>
    <w:p w14:paraId="4BE6B3A3">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项目联系人：</w:t>
      </w:r>
      <w:r>
        <w:rPr>
          <w:rFonts w:hint="eastAsia" w:ascii="宋体" w:hAnsi="宋体" w:eastAsia="宋体" w:cs="宋体"/>
          <w:color w:val="auto"/>
          <w:sz w:val="21"/>
          <w:szCs w:val="21"/>
          <w:highlight w:val="none"/>
          <w:lang w:val="en-US" w:eastAsia="zh-CN"/>
        </w:rPr>
        <w:t>庞青青  电话：0771-</w:t>
      </w:r>
      <w:r>
        <w:rPr>
          <w:rFonts w:hint="eastAsia" w:ascii="宋体" w:hAnsi="宋体" w:eastAsia="宋体" w:cs="宋体"/>
          <w:color w:val="auto"/>
          <w:sz w:val="21"/>
          <w:szCs w:val="21"/>
          <w:highlight w:val="none"/>
          <w:lang w:eastAsia="zh-CN"/>
        </w:rPr>
        <w:t>5945100</w:t>
      </w:r>
    </w:p>
    <w:p w14:paraId="65598C4F">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4.监督部门：</w:t>
      </w:r>
      <w:r>
        <w:rPr>
          <w:rFonts w:hint="eastAsia" w:ascii="宋体" w:hAnsi="宋体" w:cs="宋体"/>
          <w:color w:val="auto"/>
          <w:sz w:val="21"/>
          <w:szCs w:val="21"/>
          <w:highlight w:val="none"/>
          <w:lang w:eastAsia="zh-CN"/>
        </w:rPr>
        <w:t>广西中泰象郡建设投资有限公司</w:t>
      </w:r>
    </w:p>
    <w:p w14:paraId="6CC259A4">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宋体" w:hAnsi="宋体" w:eastAsia="宋体" w:cs="宋体"/>
          <w:color w:val="auto"/>
          <w:sz w:val="21"/>
          <w:szCs w:val="21"/>
          <w:highlight w:val="none"/>
          <w:lang w:val="en-US" w:eastAsia="zh-CN"/>
        </w:rPr>
      </w:pPr>
    </w:p>
    <w:p w14:paraId="0DDD7EA8">
      <w:pPr>
        <w:spacing w:line="360" w:lineRule="auto"/>
        <w:rPr>
          <w:rFonts w:hint="eastAsia" w:ascii="宋体" w:hAnsi="宋体" w:eastAsia="宋体" w:cs="宋体"/>
          <w:bCs w:val="0"/>
          <w:color w:val="auto"/>
          <w:spacing w:val="0"/>
          <w:sz w:val="21"/>
          <w:szCs w:val="21"/>
          <w:highlight w:val="none"/>
          <w:lang w:val="en-US" w:eastAsia="zh-CN" w:bidi="hi-IN"/>
        </w:rPr>
      </w:pPr>
      <w:r>
        <w:rPr>
          <w:rFonts w:hint="eastAsia" w:ascii="宋体" w:hAnsi="宋体" w:eastAsia="宋体" w:cs="宋体"/>
          <w:bCs w:val="0"/>
          <w:color w:val="auto"/>
          <w:spacing w:val="0"/>
          <w:sz w:val="21"/>
          <w:szCs w:val="21"/>
          <w:highlight w:val="none"/>
          <w:lang w:val="en-US" w:eastAsia="zh-CN" w:bidi="hi-IN"/>
        </w:rPr>
        <w:t>　　　　　　　                采购单位：</w:t>
      </w:r>
      <w:r>
        <w:rPr>
          <w:rFonts w:hint="eastAsia" w:ascii="宋体" w:hAnsi="宋体" w:cs="宋体"/>
          <w:bCs w:val="0"/>
          <w:color w:val="auto"/>
          <w:spacing w:val="0"/>
          <w:sz w:val="21"/>
          <w:szCs w:val="21"/>
          <w:highlight w:val="none"/>
          <w:lang w:val="en-US" w:eastAsia="zh-CN" w:bidi="hi-IN"/>
        </w:rPr>
        <w:t>广西中泰象郡建设投资有限公司</w:t>
      </w:r>
    </w:p>
    <w:p w14:paraId="6CF1827A">
      <w:pPr>
        <w:spacing w:line="360" w:lineRule="auto"/>
        <w:ind w:firstLine="3150" w:firstLineChars="1500"/>
        <w:jc w:val="both"/>
        <w:rPr>
          <w:rFonts w:hint="eastAsia" w:ascii="宋体" w:hAnsi="宋体" w:cs="宋体"/>
          <w:bCs w:val="0"/>
          <w:color w:val="auto"/>
          <w:spacing w:val="0"/>
          <w:sz w:val="21"/>
          <w:szCs w:val="21"/>
          <w:highlight w:val="none"/>
          <w:lang w:val="en-US" w:eastAsia="zh-CN" w:bidi="hi-IN"/>
        </w:rPr>
      </w:pPr>
      <w:r>
        <w:rPr>
          <w:rFonts w:hint="eastAsia" w:ascii="宋体" w:hAnsi="宋体" w:eastAsia="宋体" w:cs="宋体"/>
          <w:bCs w:val="0"/>
          <w:color w:val="auto"/>
          <w:spacing w:val="0"/>
          <w:sz w:val="21"/>
          <w:szCs w:val="21"/>
          <w:highlight w:val="none"/>
          <w:lang w:val="en-US" w:eastAsia="zh-CN" w:bidi="hi-IN"/>
        </w:rPr>
        <w:t>采购代理机构：</w:t>
      </w:r>
      <w:r>
        <w:rPr>
          <w:rFonts w:hint="eastAsia" w:ascii="宋体" w:hAnsi="宋体" w:cs="宋体"/>
          <w:bCs w:val="0"/>
          <w:color w:val="auto"/>
          <w:spacing w:val="0"/>
          <w:sz w:val="21"/>
          <w:szCs w:val="21"/>
          <w:highlight w:val="none"/>
          <w:lang w:val="en-US" w:eastAsia="zh-CN" w:bidi="hi-IN"/>
        </w:rPr>
        <w:t>广西崇善项目咨询有限公司</w:t>
      </w:r>
    </w:p>
    <w:p w14:paraId="23984C96">
      <w:pPr>
        <w:spacing w:line="360" w:lineRule="auto"/>
        <w:ind w:firstLine="3150" w:firstLineChars="1500"/>
        <w:jc w:val="both"/>
        <w:rPr>
          <w:rFonts w:hint="eastAsia" w:ascii="宋体" w:hAnsi="宋体" w:cs="宋体"/>
          <w:bCs w:val="0"/>
          <w:color w:val="auto"/>
          <w:spacing w:val="0"/>
          <w:sz w:val="21"/>
          <w:szCs w:val="21"/>
          <w:highlight w:val="none"/>
          <w:lang w:val="en-US" w:eastAsia="zh-CN" w:bidi="hi-IN"/>
        </w:rPr>
      </w:pPr>
      <w:r>
        <w:rPr>
          <w:rFonts w:hint="eastAsia" w:ascii="宋体" w:hAnsi="宋体" w:eastAsia="宋体" w:cs="宋体"/>
          <w:bCs w:val="0"/>
          <w:color w:val="auto"/>
          <w:spacing w:val="0"/>
          <w:sz w:val="21"/>
          <w:szCs w:val="21"/>
          <w:highlight w:val="none"/>
          <w:lang w:val="en-US" w:eastAsia="zh-CN" w:bidi="hi-IN"/>
        </w:rPr>
        <w:t xml:space="preserve">   日 期： </w:t>
      </w:r>
      <w:r>
        <w:rPr>
          <w:rFonts w:hint="eastAsia" w:ascii="宋体" w:hAnsi="宋体" w:cs="宋体"/>
          <w:bCs w:val="0"/>
          <w:color w:val="auto"/>
          <w:spacing w:val="0"/>
          <w:sz w:val="21"/>
          <w:szCs w:val="21"/>
          <w:highlight w:val="none"/>
          <w:lang w:val="en-US" w:eastAsia="zh-CN" w:bidi="hi-IN"/>
        </w:rPr>
        <w:t>2025年6月17日</w:t>
      </w:r>
    </w:p>
    <w:p w14:paraId="4C79F2CC">
      <w:pPr>
        <w:pStyle w:val="3"/>
        <w:jc w:val="center"/>
        <w:rPr>
          <w:rFonts w:hint="eastAsia"/>
          <w:color w:val="auto"/>
          <w:highlight w:val="none"/>
        </w:rPr>
      </w:pPr>
    </w:p>
    <w:p w14:paraId="2292CBCC">
      <w:pPr>
        <w:rPr>
          <w:rFonts w:hint="eastAsia"/>
          <w:color w:val="auto"/>
          <w:highlight w:val="none"/>
        </w:rPr>
      </w:pPr>
    </w:p>
    <w:p w14:paraId="5907E0CC">
      <w:pPr>
        <w:rPr>
          <w:rFonts w:hint="eastAsia"/>
          <w:color w:val="auto"/>
          <w:highlight w:val="none"/>
        </w:rPr>
      </w:pPr>
    </w:p>
    <w:p w14:paraId="5C6205A8">
      <w:pPr>
        <w:pStyle w:val="9"/>
        <w:rPr>
          <w:rFonts w:hint="eastAsia"/>
          <w:color w:val="auto"/>
          <w:highlight w:val="none"/>
        </w:rPr>
      </w:pPr>
    </w:p>
    <w:p w14:paraId="149D4A38">
      <w:pPr>
        <w:rPr>
          <w:rFonts w:hint="eastAsia"/>
          <w:color w:val="auto"/>
          <w:highlight w:val="none"/>
        </w:rPr>
      </w:pPr>
    </w:p>
    <w:p w14:paraId="3EE3771F">
      <w:pPr>
        <w:pStyle w:val="9"/>
        <w:rPr>
          <w:rFonts w:hint="eastAsia"/>
          <w:color w:val="auto"/>
          <w:highlight w:val="none"/>
        </w:rPr>
      </w:pPr>
    </w:p>
    <w:p w14:paraId="6C1F5496">
      <w:pPr>
        <w:rPr>
          <w:rFonts w:hint="eastAsia"/>
          <w:color w:val="auto"/>
          <w:highlight w:val="none"/>
        </w:rPr>
      </w:pPr>
    </w:p>
    <w:p w14:paraId="25941EA4">
      <w:pPr>
        <w:pStyle w:val="9"/>
        <w:rPr>
          <w:rFonts w:hint="eastAsia"/>
          <w:color w:val="auto"/>
          <w:highlight w:val="none"/>
        </w:rPr>
      </w:pPr>
    </w:p>
    <w:p w14:paraId="4FE8808A">
      <w:pPr>
        <w:rPr>
          <w:rFonts w:hint="eastAsia"/>
          <w:color w:val="auto"/>
          <w:highlight w:val="none"/>
        </w:rPr>
      </w:pPr>
    </w:p>
    <w:p w14:paraId="7BF5BEF4">
      <w:pPr>
        <w:rPr>
          <w:rFonts w:hint="eastAsia"/>
          <w:color w:val="auto"/>
          <w:highlight w:val="none"/>
        </w:rPr>
      </w:pPr>
    </w:p>
    <w:p w14:paraId="236772B5">
      <w:pPr>
        <w:rPr>
          <w:rFonts w:hint="eastAsia"/>
          <w:color w:val="auto"/>
          <w:highlight w:val="none"/>
          <w:lang w:eastAsia="zh-CN"/>
        </w:rPr>
      </w:pPr>
      <w:r>
        <w:rPr>
          <w:rFonts w:hint="eastAsia"/>
          <w:color w:val="auto"/>
          <w:highlight w:val="none"/>
          <w:lang w:eastAsia="zh-CN"/>
        </w:rPr>
        <w:t xml:space="preserve">   </w:t>
      </w:r>
    </w:p>
    <w:p w14:paraId="325FB1B6">
      <w:pPr>
        <w:rPr>
          <w:rFonts w:hint="eastAsia"/>
          <w:color w:val="auto"/>
          <w:highlight w:val="none"/>
          <w:lang w:eastAsia="zh-CN"/>
        </w:rPr>
      </w:pPr>
    </w:p>
    <w:p w14:paraId="45D8A101">
      <w:pPr>
        <w:rPr>
          <w:rFonts w:hint="eastAsia"/>
          <w:color w:val="auto"/>
          <w:highlight w:val="none"/>
          <w:lang w:eastAsia="zh-CN"/>
        </w:rPr>
      </w:pPr>
    </w:p>
    <w:p w14:paraId="4FDF2B5B">
      <w:pPr>
        <w:rPr>
          <w:rFonts w:hint="eastAsia"/>
          <w:color w:val="auto"/>
          <w:highlight w:val="none"/>
          <w:lang w:eastAsia="zh-CN"/>
        </w:rPr>
      </w:pPr>
    </w:p>
    <w:p w14:paraId="28FA737C">
      <w:pPr>
        <w:rPr>
          <w:rFonts w:hint="eastAsia"/>
          <w:color w:val="auto"/>
          <w:highlight w:val="none"/>
          <w:lang w:eastAsia="zh-CN"/>
        </w:rPr>
      </w:pPr>
    </w:p>
    <w:p w14:paraId="6A800482">
      <w:pPr>
        <w:rPr>
          <w:rFonts w:hint="eastAsia"/>
          <w:color w:val="auto"/>
          <w:highlight w:val="none"/>
          <w:lang w:eastAsia="zh-CN"/>
        </w:rPr>
      </w:pPr>
    </w:p>
    <w:p w14:paraId="3FFE5B7E">
      <w:pPr>
        <w:pStyle w:val="3"/>
        <w:jc w:val="center"/>
        <w:rPr>
          <w:color w:val="auto"/>
          <w:highlight w:val="none"/>
        </w:rPr>
      </w:pPr>
      <w:bookmarkStart w:id="63" w:name="_Toc15981"/>
      <w:r>
        <w:rPr>
          <w:rFonts w:hint="eastAsia"/>
          <w:color w:val="auto"/>
          <w:highlight w:val="none"/>
        </w:rPr>
        <w:t>第二章 供应商须知</w:t>
      </w:r>
      <w:bookmarkEnd w:id="63"/>
    </w:p>
    <w:p w14:paraId="1C08CEF6">
      <w:pPr>
        <w:spacing w:line="400" w:lineRule="exact"/>
        <w:jc w:val="center"/>
        <w:rPr>
          <w:rFonts w:ascii="宋体" w:hAnsi="宋体"/>
          <w:b/>
          <w:color w:val="auto"/>
          <w:sz w:val="32"/>
          <w:szCs w:val="32"/>
          <w:highlight w:val="none"/>
        </w:rPr>
      </w:pPr>
      <w:r>
        <w:rPr>
          <w:rFonts w:hint="eastAsia" w:ascii="宋体" w:hAnsi="宋体"/>
          <w:b/>
          <w:color w:val="auto"/>
          <w:sz w:val="32"/>
          <w:szCs w:val="32"/>
          <w:highlight w:val="none"/>
        </w:rPr>
        <w:t>供应商须知前附表</w:t>
      </w:r>
    </w:p>
    <w:p w14:paraId="18F87335">
      <w:pPr>
        <w:spacing w:line="400" w:lineRule="exact"/>
        <w:jc w:val="center"/>
        <w:rPr>
          <w:rFonts w:ascii="宋体" w:hAnsi="宋体"/>
          <w:b/>
          <w:color w:val="auto"/>
          <w:sz w:val="32"/>
          <w:szCs w:val="32"/>
          <w:highlight w:val="none"/>
        </w:rPr>
      </w:pP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2"/>
        <w:gridCol w:w="7912"/>
      </w:tblGrid>
      <w:tr w14:paraId="6797A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tcPr>
          <w:p w14:paraId="0E6888CE">
            <w:pPr>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条款号</w:t>
            </w:r>
          </w:p>
        </w:tc>
        <w:tc>
          <w:tcPr>
            <w:tcW w:w="7912" w:type="dxa"/>
          </w:tcPr>
          <w:p w14:paraId="5B55046D">
            <w:pPr>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内    容</w:t>
            </w:r>
          </w:p>
        </w:tc>
      </w:tr>
      <w:tr w14:paraId="523C6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412BFCE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3</w:t>
            </w:r>
          </w:p>
        </w:tc>
        <w:tc>
          <w:tcPr>
            <w:tcW w:w="7912" w:type="dxa"/>
            <w:vAlign w:val="center"/>
          </w:tcPr>
          <w:p w14:paraId="4F92EA89">
            <w:pPr>
              <w:spacing w:line="360" w:lineRule="auto"/>
              <w:rPr>
                <w:rFonts w:hint="eastAsia" w:ascii="宋体" w:hAnsi="宋体" w:eastAsia="宋体" w:cs="宋体"/>
                <w:color w:val="auto"/>
                <w:szCs w:val="21"/>
                <w:highlight w:val="none"/>
                <w:lang w:eastAsia="zh-CN"/>
              </w:rPr>
            </w:pPr>
            <w:r>
              <w:rPr>
                <w:rFonts w:hint="eastAsia" w:ascii="宋体" w:hAnsi="宋体" w:cs="宋体"/>
                <w:bCs/>
                <w:color w:val="auto"/>
                <w:szCs w:val="21"/>
                <w:highlight w:val="none"/>
              </w:rPr>
              <w:t>供应商的资格条件</w:t>
            </w:r>
            <w:r>
              <w:rPr>
                <w:rFonts w:hint="eastAsia" w:ascii="宋体" w:hAnsi="宋体" w:cs="宋体"/>
                <w:color w:val="auto"/>
                <w:szCs w:val="21"/>
                <w:highlight w:val="none"/>
              </w:rPr>
              <w:t>：详见竞争性磋商公告</w:t>
            </w:r>
          </w:p>
        </w:tc>
      </w:tr>
      <w:tr w14:paraId="1E6B9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7327B96F">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5.1</w:t>
            </w:r>
          </w:p>
        </w:tc>
        <w:tc>
          <w:tcPr>
            <w:tcW w:w="7912" w:type="dxa"/>
            <w:vAlign w:val="center"/>
          </w:tcPr>
          <w:p w14:paraId="5601CEE9">
            <w:pPr>
              <w:spacing w:line="360" w:lineRule="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是否接受联合体竞标: 详见竞争性磋商公告</w:t>
            </w:r>
          </w:p>
        </w:tc>
      </w:tr>
      <w:tr w14:paraId="77ABD5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207CDF7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5</w:t>
            </w:r>
            <w:r>
              <w:rPr>
                <w:rFonts w:ascii="宋体" w:hAnsi="宋体" w:cs="宋体"/>
                <w:color w:val="auto"/>
                <w:szCs w:val="21"/>
                <w:highlight w:val="none"/>
              </w:rPr>
              <w:t>.2</w:t>
            </w:r>
          </w:p>
        </w:tc>
        <w:tc>
          <w:tcPr>
            <w:tcW w:w="7912" w:type="dxa"/>
            <w:vAlign w:val="center"/>
          </w:tcPr>
          <w:p w14:paraId="7194E1EB">
            <w:pPr>
              <w:spacing w:line="360" w:lineRule="auto"/>
              <w:rPr>
                <w:rFonts w:ascii="宋体" w:hAnsi="宋体" w:cs="宋体"/>
                <w:color w:val="auto"/>
                <w:szCs w:val="21"/>
                <w:highlight w:val="none"/>
              </w:rPr>
            </w:pPr>
            <w:r>
              <w:rPr>
                <w:rFonts w:hint="eastAsia" w:ascii="宋体" w:hAnsi="宋体"/>
                <w:color w:val="auto"/>
                <w:szCs w:val="21"/>
                <w:highlight w:val="none"/>
              </w:rPr>
              <w:t>如接受联合体竞标，联合体竞标要求如下：不接受</w:t>
            </w:r>
          </w:p>
        </w:tc>
      </w:tr>
      <w:tr w14:paraId="46B1B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162992BF">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6.2</w:t>
            </w:r>
          </w:p>
        </w:tc>
        <w:tc>
          <w:tcPr>
            <w:tcW w:w="7912" w:type="dxa"/>
            <w:vAlign w:val="center"/>
          </w:tcPr>
          <w:p w14:paraId="23992F20">
            <w:pPr>
              <w:pStyle w:val="7"/>
              <w:spacing w:line="360" w:lineRule="auto"/>
              <w:rPr>
                <w:rFonts w:ascii="宋体" w:hAnsi="宋体" w:cs="宋体"/>
                <w:color w:val="auto"/>
                <w:szCs w:val="21"/>
                <w:highlight w:val="none"/>
              </w:rPr>
            </w:pPr>
            <w:r>
              <w:rPr>
                <w:rFonts w:hint="eastAsia" w:ascii="宋体" w:hAnsi="宋体"/>
                <w:color w:val="auto"/>
                <w:szCs w:val="21"/>
                <w:highlight w:val="none"/>
              </w:rPr>
              <w:t>☑不允许分包</w:t>
            </w:r>
          </w:p>
        </w:tc>
      </w:tr>
      <w:tr w14:paraId="2C4D1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2A018A49">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12.1.</w:t>
            </w:r>
            <w:r>
              <w:rPr>
                <w:rFonts w:ascii="宋体" w:hAnsi="宋体" w:cs="宋体"/>
                <w:color w:val="auto"/>
                <w:szCs w:val="21"/>
                <w:highlight w:val="none"/>
              </w:rPr>
              <w:t>1</w:t>
            </w:r>
          </w:p>
        </w:tc>
        <w:tc>
          <w:tcPr>
            <w:tcW w:w="7912" w:type="dxa"/>
            <w:vAlign w:val="center"/>
          </w:tcPr>
          <w:p w14:paraId="1822D6EF">
            <w:pPr>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资格证明文件</w:t>
            </w:r>
          </w:p>
          <w:p w14:paraId="0B9C3C16">
            <w:pPr>
              <w:pStyle w:val="7"/>
              <w:spacing w:line="360" w:lineRule="auto"/>
              <w:rPr>
                <w:rFonts w:ascii="宋体" w:hAnsi="宋体"/>
                <w:color w:val="auto"/>
                <w:szCs w:val="21"/>
                <w:highlight w:val="none"/>
              </w:rPr>
            </w:pPr>
            <w:r>
              <w:rPr>
                <w:rFonts w:hint="eastAsia" w:ascii="宋体" w:hAnsi="宋体" w:cs="宋体"/>
                <w:color w:val="auto"/>
                <w:szCs w:val="21"/>
                <w:highlight w:val="none"/>
              </w:rPr>
              <w:t>1.供应商为法人或者其他组织的提供其营业执照副本等证明文件（如营业执照或者事业单位法人证书或者执业许可证等），供应商为自然人的提供其身份证复印件；（</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03B9C062">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2.供应商依法缴纳税收的相关材料（</w:t>
            </w:r>
            <w:r>
              <w:rPr>
                <w:rFonts w:hint="eastAsia" w:ascii="宋体" w:hAnsi="宋体" w:cs="宋体"/>
                <w:color w:val="auto"/>
                <w:szCs w:val="21"/>
                <w:highlight w:val="none"/>
                <w:lang w:eastAsia="zh-CN"/>
              </w:rPr>
              <w:t>1年内任意1个月</w:t>
            </w:r>
            <w:r>
              <w:rPr>
                <w:rFonts w:hint="eastAsia" w:ascii="宋体" w:hAnsi="宋体" w:cs="宋体"/>
                <w:color w:val="auto"/>
                <w:szCs w:val="21"/>
                <w:highlight w:val="none"/>
              </w:rPr>
              <w:t>的依法缴纳税收的凭据复印件；</w:t>
            </w:r>
            <w:r>
              <w:rPr>
                <w:rFonts w:hint="eastAsia" w:ascii="宋体" w:hAnsi="宋体"/>
                <w:color w:val="auto"/>
                <w:szCs w:val="21"/>
                <w:highlight w:val="none"/>
              </w:rPr>
              <w:t>依法免税的供应商，必须提供相应文件证明其依法免税。</w:t>
            </w:r>
            <w:r>
              <w:rPr>
                <w:rFonts w:hint="eastAsia" w:ascii="宋体" w:hAnsi="宋体" w:cs="宋体"/>
                <w:color w:val="auto"/>
                <w:szCs w:val="21"/>
                <w:highlight w:val="none"/>
              </w:rPr>
              <w:t>从取得营业执照时间起到首次响应文件提交截止时间为止不足要求月数的，只需提供从取得营业执照起的依法缴纳税收</w:t>
            </w:r>
            <w:r>
              <w:rPr>
                <w:rFonts w:hint="eastAsia" w:ascii="宋体" w:hAnsi="宋体"/>
                <w:color w:val="auto"/>
                <w:szCs w:val="21"/>
                <w:highlight w:val="none"/>
              </w:rPr>
              <w:t>相应证明文件</w:t>
            </w:r>
            <w:r>
              <w:rPr>
                <w:rFonts w:hint="eastAsia" w:ascii="宋体" w:hAnsi="宋体" w:cs="宋体"/>
                <w:color w:val="auto"/>
                <w:szCs w:val="21"/>
                <w:highlight w:val="none"/>
              </w:rPr>
              <w:t>）；（</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07FC0CD8">
            <w:pPr>
              <w:pStyle w:val="7"/>
              <w:spacing w:line="360" w:lineRule="auto"/>
              <w:rPr>
                <w:color w:val="auto"/>
                <w:highlight w:val="none"/>
              </w:rPr>
            </w:pPr>
            <w:r>
              <w:rPr>
                <w:rFonts w:hint="eastAsia" w:ascii="宋体" w:hAnsi="宋体" w:cs="宋体"/>
                <w:color w:val="auto"/>
                <w:szCs w:val="21"/>
                <w:highlight w:val="none"/>
              </w:rPr>
              <w:t>3.供应商依法缴纳社会保障资金的相关材料[1年内任意</w:t>
            </w:r>
            <w:r>
              <w:rPr>
                <w:rFonts w:ascii="宋体" w:hAnsi="宋体" w:cs="宋体"/>
                <w:color w:val="auto"/>
                <w:szCs w:val="21"/>
                <w:highlight w:val="none"/>
              </w:rPr>
              <w:t>1</w:t>
            </w:r>
            <w:r>
              <w:rPr>
                <w:rFonts w:hint="eastAsia" w:ascii="宋体" w:hAnsi="宋体" w:cs="宋体"/>
                <w:color w:val="auto"/>
                <w:szCs w:val="21"/>
                <w:highlight w:val="none"/>
              </w:rPr>
              <w:t>个月的依法缴纳社会保障资金的缴费凭证（专用收据或者社会保险缴纳清单）复印件；</w:t>
            </w:r>
            <w:r>
              <w:rPr>
                <w:rFonts w:hint="eastAsia" w:ascii="宋体" w:hAnsi="宋体"/>
                <w:color w:val="auto"/>
                <w:szCs w:val="21"/>
                <w:highlight w:val="none"/>
              </w:rPr>
              <w:t>依法不需要缴纳社会保障资金的供应商，必须提供相应文件证明不需要缴纳社会保障资金。</w:t>
            </w:r>
            <w:r>
              <w:rPr>
                <w:rFonts w:hint="eastAsia" w:ascii="宋体" w:hAnsi="宋体" w:cs="宋体"/>
                <w:color w:val="auto"/>
                <w:szCs w:val="21"/>
                <w:highlight w:val="none"/>
              </w:rPr>
              <w:t>从取得营业执照时间起到首次响应文件提交截止时间为止不足要求月数的只需提供从取得营业执照起的依法缴纳社会保障资金的</w:t>
            </w:r>
            <w:r>
              <w:rPr>
                <w:rFonts w:hint="eastAsia" w:ascii="宋体" w:hAnsi="宋体"/>
                <w:color w:val="auto"/>
                <w:szCs w:val="21"/>
                <w:highlight w:val="none"/>
              </w:rPr>
              <w:t>相应证明文件</w:t>
            </w:r>
            <w:r>
              <w:rPr>
                <w:rFonts w:hint="eastAsia" w:ascii="宋体" w:hAnsi="宋体" w:cs="宋体"/>
                <w:color w:val="auto"/>
                <w:szCs w:val="21"/>
                <w:highlight w:val="none"/>
              </w:rPr>
              <w:t>]；（</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53BFAE46">
            <w:pPr>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2024年</w:t>
            </w:r>
            <w:r>
              <w:rPr>
                <w:rFonts w:hint="eastAsia" w:ascii="宋体" w:hAnsi="宋体" w:cs="宋体"/>
                <w:color w:val="auto"/>
                <w:szCs w:val="21"/>
                <w:highlight w:val="none"/>
              </w:rPr>
              <w:t>供应商财务状况报告</w:t>
            </w:r>
            <w:r>
              <w:rPr>
                <w:rFonts w:hint="eastAsia" w:ascii="宋体" w:hAnsi="宋体"/>
                <w:color w:val="auto"/>
                <w:szCs w:val="21"/>
                <w:highlight w:val="none"/>
              </w:rPr>
              <w:t>【①可以是经会计师事务所审计的财务报告（财务报告至少包括三表及其附注），或是本公司出具的财务报表（至少包含资产负债表、利润表、现金流量表）；②新近成立不足半年的公司按实际提供财务报表（至少包含资产负债表、利润表、现金流量表）】</w:t>
            </w:r>
            <w:r>
              <w:rPr>
                <w:rFonts w:hint="eastAsia" w:ascii="宋体" w:hAnsi="宋体" w:cs="宋体"/>
                <w:color w:val="auto"/>
                <w:szCs w:val="21"/>
                <w:highlight w:val="none"/>
              </w:rPr>
              <w:t>；</w:t>
            </w:r>
            <w:r>
              <w:rPr>
                <w:rFonts w:hint="eastAsia" w:ascii="宋体" w:hAnsi="宋体" w:cs="宋体"/>
                <w:bCs/>
                <w:color w:val="auto"/>
                <w:szCs w:val="21"/>
                <w:highlight w:val="none"/>
              </w:rPr>
              <w:t>（</w:t>
            </w:r>
            <w:r>
              <w:rPr>
                <w:rFonts w:hint="eastAsia" w:ascii="宋体" w:hAnsi="宋体" w:cs="宋体"/>
                <w:b/>
                <w:color w:val="auto"/>
                <w:szCs w:val="21"/>
                <w:highlight w:val="none"/>
              </w:rPr>
              <w:t>必须提供，否则响应文件按无效响应处理</w:t>
            </w:r>
            <w:r>
              <w:rPr>
                <w:rFonts w:hint="eastAsia" w:ascii="宋体" w:hAnsi="宋体" w:cs="宋体"/>
                <w:bCs/>
                <w:color w:val="auto"/>
                <w:szCs w:val="21"/>
                <w:highlight w:val="none"/>
              </w:rPr>
              <w:t>）</w:t>
            </w:r>
          </w:p>
          <w:p w14:paraId="7B8D96EE">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5.供应商直接控股、管理关系信息表（格式后附）；（</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01E4310F">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6.竞标声明（格式后附）；（</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2A3AC506">
            <w:pPr>
              <w:snapToGrid w:val="0"/>
              <w:spacing w:line="360" w:lineRule="auto"/>
              <w:jc w:val="left"/>
              <w:rPr>
                <w:rFonts w:ascii="宋体" w:hAnsi="宋体" w:cs="宋体"/>
                <w:color w:val="auto"/>
                <w:szCs w:val="21"/>
                <w:highlight w:val="none"/>
              </w:rPr>
            </w:pPr>
            <w:r>
              <w:rPr>
                <w:rFonts w:ascii="宋体" w:hAnsi="宋体" w:cs="宋体"/>
                <w:color w:val="auto"/>
                <w:szCs w:val="21"/>
                <w:highlight w:val="none"/>
              </w:rPr>
              <w:t>7</w:t>
            </w:r>
            <w:r>
              <w:rPr>
                <w:rFonts w:hint="eastAsia" w:ascii="宋体" w:hAnsi="宋体" w:cs="宋体"/>
                <w:color w:val="auto"/>
                <w:szCs w:val="21"/>
                <w:highlight w:val="none"/>
              </w:rPr>
              <w:t>.除磋商文件规定必须提供以外，供应商认为需要提供的其他证明材料；</w:t>
            </w:r>
          </w:p>
          <w:p w14:paraId="2BA52FFB">
            <w:pPr>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注：</w:t>
            </w:r>
          </w:p>
          <w:p w14:paraId="7B2E6E85">
            <w:pPr>
              <w:snapToGrid w:val="0"/>
              <w:spacing w:line="360" w:lineRule="auto"/>
              <w:ind w:firstLine="413" w:firstLineChars="196"/>
              <w:jc w:val="left"/>
              <w:rPr>
                <w:rFonts w:ascii="宋体" w:hAnsi="宋体" w:cs="宋体"/>
                <w:b/>
                <w:color w:val="auto"/>
                <w:szCs w:val="21"/>
                <w:highlight w:val="none"/>
              </w:rPr>
            </w:pPr>
            <w:r>
              <w:rPr>
                <w:rFonts w:hint="eastAsia" w:ascii="宋体" w:hAnsi="宋体" w:cs="宋体"/>
                <w:b/>
                <w:color w:val="auto"/>
                <w:szCs w:val="21"/>
                <w:highlight w:val="none"/>
              </w:rPr>
              <w:t>1.以上标明“必须提供”的材料属于复印件的，必须加盖供应商公章，否则响应文件按无效响应处理。</w:t>
            </w:r>
          </w:p>
          <w:p w14:paraId="3F52E951">
            <w:pPr>
              <w:snapToGrid w:val="0"/>
              <w:spacing w:line="360" w:lineRule="auto"/>
              <w:ind w:firstLine="422" w:firstLineChars="200"/>
              <w:jc w:val="left"/>
              <w:rPr>
                <w:rFonts w:ascii="宋体" w:hAnsi="宋体" w:cs="宋体"/>
                <w:b/>
                <w:color w:val="auto"/>
                <w:szCs w:val="21"/>
                <w:highlight w:val="none"/>
              </w:rPr>
            </w:pPr>
            <w:r>
              <w:rPr>
                <w:rFonts w:hint="eastAsia" w:ascii="宋体" w:hAnsi="宋体" w:cs="宋体"/>
                <w:b/>
                <w:color w:val="auto"/>
                <w:szCs w:val="21"/>
                <w:highlight w:val="none"/>
              </w:rPr>
              <w:t>2.竞标声明必须由法定代表人在规定签章处签字并加盖供应商公章，否则响应文件按无效响应处理。</w:t>
            </w:r>
          </w:p>
          <w:p w14:paraId="6A78832C">
            <w:pPr>
              <w:snapToGrid w:val="0"/>
              <w:spacing w:line="360" w:lineRule="auto"/>
              <w:ind w:firstLine="422" w:firstLineChars="200"/>
              <w:jc w:val="left"/>
              <w:rPr>
                <w:rFonts w:ascii="宋体" w:hAnsi="宋体" w:cs="宋体"/>
                <w:b/>
                <w:color w:val="auto"/>
                <w:szCs w:val="21"/>
                <w:highlight w:val="none"/>
              </w:rPr>
            </w:pPr>
            <w:r>
              <w:rPr>
                <w:rFonts w:hint="eastAsia" w:ascii="宋体" w:hAnsi="宋体" w:cs="宋体"/>
                <w:b/>
                <w:color w:val="auto"/>
                <w:szCs w:val="21"/>
                <w:highlight w:val="none"/>
              </w:rPr>
              <w:t>3.供应商直接控股、管理关系信息表必须由法定代表人或者委托代理人在规定签章处签字并加盖供应商公章，否则响应文件按无效响应处理。</w:t>
            </w:r>
          </w:p>
        </w:tc>
      </w:tr>
      <w:tr w14:paraId="3A83C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239A49D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12.</w:t>
            </w:r>
            <w:r>
              <w:rPr>
                <w:rFonts w:ascii="宋体" w:hAnsi="宋体" w:cs="宋体"/>
                <w:color w:val="auto"/>
                <w:szCs w:val="21"/>
                <w:highlight w:val="none"/>
              </w:rPr>
              <w:t>1</w:t>
            </w:r>
            <w:r>
              <w:rPr>
                <w:rFonts w:hint="eastAsia" w:ascii="宋体" w:hAnsi="宋体" w:cs="宋体"/>
                <w:color w:val="auto"/>
                <w:szCs w:val="21"/>
                <w:highlight w:val="none"/>
              </w:rPr>
              <w:t>.</w:t>
            </w:r>
            <w:r>
              <w:rPr>
                <w:rFonts w:ascii="宋体" w:hAnsi="宋体" w:cs="宋体"/>
                <w:color w:val="auto"/>
                <w:szCs w:val="21"/>
                <w:highlight w:val="none"/>
              </w:rPr>
              <w:t>2</w:t>
            </w:r>
          </w:p>
        </w:tc>
        <w:tc>
          <w:tcPr>
            <w:tcW w:w="7912" w:type="dxa"/>
            <w:vAlign w:val="center"/>
          </w:tcPr>
          <w:p w14:paraId="710F954B">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报价商务技术文件</w:t>
            </w:r>
          </w:p>
          <w:p w14:paraId="7DDF566D">
            <w:pPr>
              <w:spacing w:line="360" w:lineRule="auto"/>
              <w:rPr>
                <w:rFonts w:ascii="宋体" w:hAnsi="宋体" w:cs="宋体"/>
                <w:color w:val="auto"/>
                <w:szCs w:val="21"/>
                <w:highlight w:val="none"/>
              </w:rPr>
            </w:pPr>
            <w:r>
              <w:rPr>
                <w:rFonts w:hint="eastAsia" w:ascii="宋体" w:hAnsi="宋体" w:cs="宋体"/>
                <w:color w:val="auto"/>
                <w:szCs w:val="21"/>
                <w:highlight w:val="none"/>
              </w:rPr>
              <w:t>1.无串通竞标行为的承诺函（格式后附）；（</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7C03A149">
            <w:pPr>
              <w:spacing w:line="360" w:lineRule="auto"/>
              <w:rPr>
                <w:rFonts w:ascii="宋体" w:hAnsi="宋体" w:cs="宋体"/>
                <w:color w:val="auto"/>
                <w:szCs w:val="21"/>
                <w:highlight w:val="none"/>
              </w:rPr>
            </w:pPr>
            <w:r>
              <w:rPr>
                <w:rFonts w:hint="eastAsia" w:ascii="宋体" w:hAnsi="宋体" w:cs="宋体"/>
                <w:color w:val="auto"/>
                <w:szCs w:val="21"/>
                <w:highlight w:val="none"/>
              </w:rPr>
              <w:t>2.竞标报价表（格式后附）；（</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324F59F1">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3.法定代表人身份证明书及法定代表人有效身份证正反面复印件（格式后附）；</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w:t>
            </w:r>
            <w:r>
              <w:rPr>
                <w:rFonts w:hint="eastAsia" w:ascii="宋体" w:hAnsi="宋体" w:cs="宋体"/>
                <w:b/>
                <w:bCs/>
                <w:color w:val="auto"/>
                <w:szCs w:val="21"/>
                <w:highlight w:val="none"/>
              </w:rPr>
              <w:t>除自然人竞标外</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293A4619">
            <w:pPr>
              <w:spacing w:line="360" w:lineRule="auto"/>
              <w:rPr>
                <w:rFonts w:ascii="宋体" w:hAnsi="宋体" w:cs="宋体"/>
                <w:b/>
                <w:color w:val="auto"/>
                <w:szCs w:val="21"/>
                <w:highlight w:val="none"/>
              </w:rPr>
            </w:pPr>
            <w:r>
              <w:rPr>
                <w:rFonts w:hint="eastAsia" w:ascii="宋体" w:hAnsi="宋体" w:cs="宋体"/>
                <w:color w:val="auto"/>
                <w:szCs w:val="21"/>
                <w:highlight w:val="none"/>
              </w:rPr>
              <w:t>4.法定代表人授权委托书及委托代理人有效身份证正反面复印件（格式后附）；</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w:t>
            </w:r>
            <w:r>
              <w:rPr>
                <w:rFonts w:hint="eastAsia" w:ascii="宋体" w:hAnsi="宋体" w:cs="宋体"/>
                <w:b/>
                <w:color w:val="auto"/>
                <w:szCs w:val="21"/>
                <w:highlight w:val="none"/>
              </w:rPr>
              <w:t>委托时必须提供，否则响应文件按无效响应处理</w:t>
            </w:r>
            <w:r>
              <w:rPr>
                <w:rFonts w:hint="eastAsia" w:ascii="宋体" w:hAnsi="宋体" w:cs="宋体"/>
                <w:color w:val="auto"/>
                <w:szCs w:val="21"/>
                <w:highlight w:val="none"/>
              </w:rPr>
              <w:t>）</w:t>
            </w:r>
          </w:p>
          <w:p w14:paraId="3B9FF4DD">
            <w:pPr>
              <w:spacing w:line="360" w:lineRule="auto"/>
              <w:rPr>
                <w:rFonts w:ascii="宋体" w:hAnsi="宋体" w:cs="宋体"/>
                <w:color w:val="auto"/>
                <w:szCs w:val="21"/>
                <w:highlight w:val="none"/>
              </w:rPr>
            </w:pPr>
            <w:r>
              <w:rPr>
                <w:rFonts w:hint="eastAsia" w:ascii="宋体" w:hAnsi="宋体" w:cs="宋体"/>
                <w:color w:val="auto"/>
                <w:szCs w:val="21"/>
                <w:highlight w:val="none"/>
              </w:rPr>
              <w:t>5.商务条款偏离表（格式后附）；（</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02819C94">
            <w:pPr>
              <w:spacing w:line="360" w:lineRule="auto"/>
              <w:rPr>
                <w:rFonts w:ascii="宋体" w:hAnsi="宋体" w:cs="宋体"/>
                <w:color w:val="auto"/>
                <w:szCs w:val="21"/>
                <w:highlight w:val="none"/>
              </w:rPr>
            </w:pPr>
            <w:r>
              <w:rPr>
                <w:rFonts w:hint="eastAsia" w:ascii="宋体" w:hAnsi="宋体" w:cs="宋体"/>
                <w:color w:val="auto"/>
                <w:szCs w:val="21"/>
                <w:highlight w:val="none"/>
              </w:rPr>
              <w:t>6.服务方案；（</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41608885">
            <w:pPr>
              <w:spacing w:line="360" w:lineRule="auto"/>
              <w:rPr>
                <w:rFonts w:ascii="宋体" w:hAnsi="宋体" w:cs="宋体"/>
                <w:color w:val="auto"/>
                <w:szCs w:val="21"/>
                <w:highlight w:val="none"/>
              </w:rPr>
            </w:pPr>
            <w:r>
              <w:rPr>
                <w:rFonts w:hint="eastAsia" w:ascii="宋体" w:hAnsi="宋体" w:cs="宋体"/>
                <w:color w:val="auto"/>
                <w:szCs w:val="21"/>
                <w:highlight w:val="none"/>
              </w:rPr>
              <w:t>7.服务需求偏离表（格式后附）；（</w:t>
            </w:r>
            <w:r>
              <w:rPr>
                <w:rFonts w:hint="eastAsia" w:ascii="宋体" w:hAnsi="宋体" w:cs="宋体"/>
                <w:b/>
                <w:color w:val="auto"/>
                <w:szCs w:val="21"/>
                <w:highlight w:val="none"/>
              </w:rPr>
              <w:t>必须提供，否则响应文件按无效响应处理</w:t>
            </w:r>
            <w:r>
              <w:rPr>
                <w:rFonts w:hint="eastAsia" w:ascii="宋体" w:hAnsi="宋体" w:cs="宋体"/>
                <w:color w:val="auto"/>
                <w:szCs w:val="21"/>
                <w:highlight w:val="none"/>
              </w:rPr>
              <w:t>）</w:t>
            </w:r>
          </w:p>
          <w:p w14:paraId="2F623D59">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8.项目实施人员一览表（格式自拟）； </w:t>
            </w:r>
          </w:p>
          <w:p w14:paraId="66D84071">
            <w:pPr>
              <w:spacing w:line="360" w:lineRule="auto"/>
              <w:rPr>
                <w:rFonts w:ascii="宋体" w:hAnsi="宋体" w:cs="宋体"/>
                <w:color w:val="auto"/>
                <w:szCs w:val="21"/>
                <w:highlight w:val="none"/>
              </w:rPr>
            </w:pPr>
            <w:r>
              <w:rPr>
                <w:rFonts w:hint="eastAsia" w:ascii="宋体" w:hAnsi="宋体" w:cs="宋体"/>
                <w:color w:val="auto"/>
                <w:szCs w:val="21"/>
                <w:highlight w:val="none"/>
              </w:rPr>
              <w:t>9.对应采购需求的服务需求、商务条款提供的其他文件资料；</w:t>
            </w:r>
          </w:p>
          <w:p w14:paraId="112D2956">
            <w:pPr>
              <w:spacing w:line="360" w:lineRule="auto"/>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0.供应商认为需要提供的其他有关资料。</w:t>
            </w:r>
          </w:p>
          <w:p w14:paraId="0C978C81">
            <w:pPr>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注： </w:t>
            </w:r>
          </w:p>
          <w:p w14:paraId="2CF5F68C">
            <w:pPr>
              <w:snapToGrid w:val="0"/>
              <w:spacing w:line="360" w:lineRule="auto"/>
              <w:ind w:firstLine="413" w:firstLineChars="196"/>
              <w:jc w:val="left"/>
              <w:rPr>
                <w:rFonts w:ascii="宋体" w:hAnsi="宋体" w:cs="宋体"/>
                <w:b/>
                <w:color w:val="auto"/>
                <w:szCs w:val="21"/>
                <w:highlight w:val="none"/>
              </w:rPr>
            </w:pPr>
            <w:r>
              <w:rPr>
                <w:rFonts w:hint="eastAsia" w:ascii="宋体" w:hAnsi="宋体" w:cs="宋体"/>
                <w:b/>
                <w:color w:val="auto"/>
                <w:szCs w:val="21"/>
                <w:highlight w:val="none"/>
              </w:rPr>
              <w:t>1.法定代表人授权委托书必须由法定代表人及委托代理人签字，并加盖供应商公章，否则响应文件按无效响应处理。</w:t>
            </w:r>
          </w:p>
          <w:p w14:paraId="73002FD9">
            <w:pPr>
              <w:spacing w:line="360" w:lineRule="auto"/>
              <w:ind w:firstLine="413" w:firstLineChars="196"/>
              <w:rPr>
                <w:rFonts w:ascii="宋体" w:hAnsi="宋体" w:cs="宋体"/>
                <w:b/>
                <w:color w:val="auto"/>
                <w:szCs w:val="21"/>
                <w:highlight w:val="none"/>
              </w:rPr>
            </w:pPr>
            <w:r>
              <w:rPr>
                <w:rFonts w:ascii="宋体" w:hAnsi="宋体" w:cs="宋体"/>
                <w:b/>
                <w:color w:val="auto"/>
                <w:szCs w:val="21"/>
                <w:highlight w:val="none"/>
              </w:rPr>
              <w:t>2</w:t>
            </w:r>
            <w:r>
              <w:rPr>
                <w:rFonts w:hint="eastAsia" w:ascii="宋体" w:hAnsi="宋体" w:cs="宋体"/>
                <w:b/>
                <w:color w:val="auto"/>
                <w:szCs w:val="21"/>
                <w:highlight w:val="none"/>
              </w:rPr>
              <w:t>.以上标明“必须提供”的材料属于复印件的，必须加盖供应商公章，否则响应文件按无效响应处理。</w:t>
            </w:r>
          </w:p>
          <w:p w14:paraId="6938939D">
            <w:pPr>
              <w:spacing w:line="360" w:lineRule="auto"/>
              <w:ind w:firstLine="413" w:firstLineChars="196"/>
              <w:rPr>
                <w:rFonts w:ascii="宋体" w:hAnsi="宋体" w:cs="宋体"/>
                <w:color w:val="auto"/>
                <w:szCs w:val="21"/>
                <w:highlight w:val="none"/>
              </w:rPr>
            </w:pPr>
            <w:r>
              <w:rPr>
                <w:rFonts w:hint="eastAsia" w:ascii="宋体" w:hAnsi="宋体" w:cs="宋体"/>
                <w:b/>
                <w:color w:val="auto"/>
                <w:szCs w:val="21"/>
                <w:highlight w:val="none"/>
              </w:rPr>
              <w:t>3.以上材料未附格式的，由供应商自行拟定。</w:t>
            </w:r>
          </w:p>
        </w:tc>
      </w:tr>
      <w:tr w14:paraId="1EAEE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6CFF296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12.</w:t>
            </w:r>
            <w:r>
              <w:rPr>
                <w:rFonts w:ascii="宋体" w:hAnsi="宋体" w:cs="宋体"/>
                <w:color w:val="auto"/>
                <w:szCs w:val="21"/>
                <w:highlight w:val="none"/>
              </w:rPr>
              <w:t>2</w:t>
            </w:r>
          </w:p>
        </w:tc>
        <w:tc>
          <w:tcPr>
            <w:tcW w:w="7912" w:type="dxa"/>
            <w:vAlign w:val="center"/>
          </w:tcPr>
          <w:p w14:paraId="13E3BFD1">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响应文件电子版。供应商在递交响应文件时，同时递交响应文件电子版。</w:t>
            </w:r>
          </w:p>
          <w:p w14:paraId="23426A5A">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1.响应文件电子版内容：与纸质响应文件全部内容一致。</w:t>
            </w:r>
          </w:p>
          <w:p w14:paraId="45F6C5BA">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2.响应文件电子版形式：可编辑的word文档格式1份和已签字盖章的响应文件正本的扫描件（PDF格式）1份。</w:t>
            </w:r>
          </w:p>
          <w:p w14:paraId="270C51E7">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3.响应文件电子版密封方式：响应文件电子版光盘（或者U盘）与纸质版响应文件一并装入响应文件袋中。</w:t>
            </w:r>
          </w:p>
        </w:tc>
      </w:tr>
      <w:tr w14:paraId="63C16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3642DB6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15.2</w:t>
            </w:r>
          </w:p>
        </w:tc>
        <w:tc>
          <w:tcPr>
            <w:tcW w:w="7912" w:type="dxa"/>
            <w:vAlign w:val="center"/>
          </w:tcPr>
          <w:p w14:paraId="3DE70BEE">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标报价必须包含满足本次竞标全部采购需求所应提供的服务，以及伴随的货物和工程（如有）的价格；包含竞标服务、货物、工程的成本、运输（含保险）、安装（如有）、调试、检验、技术服务、培训、税费等所有费用。</w:t>
            </w:r>
            <w:r>
              <w:rPr>
                <w:rFonts w:hint="eastAsia" w:ascii="宋体" w:hAnsi="宋体"/>
                <w:b/>
                <w:color w:val="auto"/>
                <w:szCs w:val="21"/>
                <w:highlight w:val="none"/>
              </w:rPr>
              <w:t>（采购需求另有约定的，从其约定。）</w:t>
            </w:r>
          </w:p>
        </w:tc>
      </w:tr>
      <w:tr w14:paraId="30883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0EB216D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16.</w:t>
            </w:r>
            <w:r>
              <w:rPr>
                <w:rFonts w:ascii="宋体" w:hAnsi="宋体" w:cs="宋体"/>
                <w:color w:val="auto"/>
                <w:szCs w:val="21"/>
                <w:highlight w:val="none"/>
              </w:rPr>
              <w:t>2</w:t>
            </w:r>
          </w:p>
        </w:tc>
        <w:tc>
          <w:tcPr>
            <w:tcW w:w="7912" w:type="dxa"/>
            <w:vAlign w:val="center"/>
          </w:tcPr>
          <w:p w14:paraId="6123ABF2">
            <w:pPr>
              <w:pStyle w:val="5"/>
              <w:tabs>
                <w:tab w:val="left" w:pos="720"/>
                <w:tab w:val="left" w:pos="840"/>
              </w:tabs>
              <w:snapToGrid w:val="0"/>
              <w:spacing w:line="360" w:lineRule="auto"/>
              <w:ind w:left="283" w:hanging="283" w:hangingChars="135"/>
              <w:rPr>
                <w:rFonts w:ascii="宋体" w:hAnsi="宋体" w:cs="宋体"/>
                <w:color w:val="auto"/>
                <w:szCs w:val="21"/>
                <w:highlight w:val="none"/>
              </w:rPr>
            </w:pPr>
            <w:r>
              <w:rPr>
                <w:rFonts w:hint="eastAsia" w:ascii="宋体" w:hAnsi="宋体" w:cs="宋体"/>
                <w:color w:val="auto"/>
                <w:szCs w:val="21"/>
                <w:highlight w:val="none"/>
              </w:rPr>
              <w:t>竞标有效期：自首次响应文件提交截止之日起</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30</w:t>
            </w:r>
            <w:r>
              <w:rPr>
                <w:rFonts w:ascii="宋体" w:hAnsi="宋体" w:cs="宋体"/>
                <w:color w:val="auto"/>
                <w:szCs w:val="21"/>
                <w:highlight w:val="none"/>
                <w:u w:val="single"/>
              </w:rPr>
              <w:t xml:space="preserve"> </w:t>
            </w:r>
            <w:r>
              <w:rPr>
                <w:rFonts w:hint="eastAsia" w:ascii="宋体" w:hAnsi="宋体" w:cs="宋体"/>
                <w:color w:val="auto"/>
                <w:szCs w:val="21"/>
                <w:highlight w:val="none"/>
              </w:rPr>
              <w:t>日。</w:t>
            </w:r>
          </w:p>
        </w:tc>
      </w:tr>
      <w:tr w14:paraId="18B63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7558EC3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17.1</w:t>
            </w:r>
          </w:p>
        </w:tc>
        <w:tc>
          <w:tcPr>
            <w:tcW w:w="7912" w:type="dxa"/>
            <w:vAlign w:val="center"/>
          </w:tcPr>
          <w:p w14:paraId="6F6BE17C">
            <w:pPr>
              <w:snapToGrid w:val="0"/>
              <w:spacing w:line="360" w:lineRule="auto"/>
              <w:rPr>
                <w:rFonts w:ascii="宋体" w:hAnsi="宋体" w:cs="宋体"/>
                <w:color w:val="auto"/>
                <w:szCs w:val="21"/>
                <w:highlight w:val="none"/>
              </w:rPr>
            </w:pPr>
            <w:r>
              <w:rPr>
                <w:rFonts w:hint="eastAsia" w:ascii="宋体" w:hAnsi="宋体"/>
                <w:color w:val="auto"/>
                <w:szCs w:val="21"/>
                <w:highlight w:val="none"/>
              </w:rPr>
              <w:t>☑本项目不收取磋商保证金</w:t>
            </w:r>
          </w:p>
        </w:tc>
      </w:tr>
      <w:tr w14:paraId="49178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22B5531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18.2</w:t>
            </w:r>
          </w:p>
        </w:tc>
        <w:tc>
          <w:tcPr>
            <w:tcW w:w="7912" w:type="dxa"/>
            <w:vAlign w:val="center"/>
          </w:tcPr>
          <w:p w14:paraId="2140AC1D">
            <w:pPr>
              <w:spacing w:line="360" w:lineRule="auto"/>
              <w:rPr>
                <w:rFonts w:ascii="宋体" w:hAnsi="宋体" w:cs="宋体"/>
                <w:color w:val="auto"/>
                <w:szCs w:val="21"/>
                <w:highlight w:val="none"/>
              </w:rPr>
            </w:pPr>
            <w:r>
              <w:rPr>
                <w:rFonts w:hint="eastAsia" w:ascii="宋体" w:hAnsi="宋体" w:cs="宋体"/>
                <w:color w:val="auto"/>
                <w:szCs w:val="21"/>
                <w:highlight w:val="none"/>
              </w:rPr>
              <w:t>响应文件份数：正本一份、副本</w:t>
            </w:r>
            <w:r>
              <w:rPr>
                <w:rFonts w:hint="eastAsia" w:ascii="宋体" w:hAnsi="宋体" w:cs="宋体"/>
                <w:color w:val="auto"/>
                <w:szCs w:val="21"/>
                <w:highlight w:val="none"/>
                <w:u w:val="single"/>
              </w:rPr>
              <w:t xml:space="preserve"> 三 </w:t>
            </w:r>
            <w:r>
              <w:rPr>
                <w:rFonts w:hint="eastAsia" w:ascii="宋体" w:hAnsi="宋体" w:cs="宋体"/>
                <w:color w:val="auto"/>
                <w:szCs w:val="21"/>
                <w:highlight w:val="none"/>
              </w:rPr>
              <w:t>份。</w:t>
            </w:r>
          </w:p>
        </w:tc>
      </w:tr>
      <w:tr w14:paraId="54295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27C0E1A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20.1</w:t>
            </w:r>
          </w:p>
        </w:tc>
        <w:tc>
          <w:tcPr>
            <w:tcW w:w="7912" w:type="dxa"/>
            <w:vAlign w:val="center"/>
          </w:tcPr>
          <w:p w14:paraId="2D9D20D4">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首次响应文件提交起止时间：详见竞争性磋商公告。</w:t>
            </w:r>
          </w:p>
          <w:p w14:paraId="00012D1A">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首次响应文件提交截止时间：详见竞争性磋商公告。</w:t>
            </w:r>
          </w:p>
          <w:p w14:paraId="482BE7E1">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首次响应文件提交地点：详见竞争性磋商公告。</w:t>
            </w:r>
          </w:p>
          <w:p w14:paraId="576B8DB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供应商必须在首次响应文件提交截止时间前，将响应文件密封送达首次响应文件提交地点。在首次响应文件提交截止时间后送达的响应文件为无效文件，采购代理机构应当拒收。</w:t>
            </w:r>
          </w:p>
        </w:tc>
      </w:tr>
      <w:tr w14:paraId="4ABB2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51AF221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24.1</w:t>
            </w:r>
          </w:p>
        </w:tc>
        <w:tc>
          <w:tcPr>
            <w:tcW w:w="7912" w:type="dxa"/>
            <w:vAlign w:val="center"/>
          </w:tcPr>
          <w:p w14:paraId="46BC8EB2">
            <w:pPr>
              <w:snapToGrid w:val="0"/>
              <w:spacing w:line="360" w:lineRule="auto"/>
              <w:jc w:val="left"/>
              <w:rPr>
                <w:rFonts w:ascii="宋体" w:hAnsi="宋体" w:cs="宋体"/>
                <w:color w:val="auto"/>
                <w:szCs w:val="21"/>
                <w:highlight w:val="none"/>
                <w:u w:val="single"/>
              </w:rPr>
            </w:pPr>
            <w:r>
              <w:rPr>
                <w:rFonts w:hint="eastAsia" w:ascii="宋体" w:hAnsi="宋体" w:cs="宋体"/>
                <w:color w:val="auto"/>
                <w:szCs w:val="21"/>
                <w:highlight w:val="none"/>
              </w:rPr>
              <w:t>磋商小组的人数：</w:t>
            </w:r>
            <w:r>
              <w:rPr>
                <w:rFonts w:hint="eastAsia" w:ascii="宋体" w:hAnsi="宋体" w:cs="宋体"/>
                <w:color w:val="auto"/>
                <w:szCs w:val="21"/>
                <w:highlight w:val="none"/>
                <w:u w:val="single"/>
              </w:rPr>
              <w:t xml:space="preserve">3 </w:t>
            </w:r>
            <w:r>
              <w:rPr>
                <w:rFonts w:hint="eastAsia" w:ascii="宋体" w:hAnsi="宋体" w:cs="宋体"/>
                <w:color w:val="auto"/>
                <w:szCs w:val="21"/>
                <w:highlight w:val="none"/>
              </w:rPr>
              <w:t>人。</w:t>
            </w:r>
          </w:p>
        </w:tc>
      </w:tr>
      <w:tr w14:paraId="5EA28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992" w:type="dxa"/>
            <w:vMerge w:val="restart"/>
            <w:vAlign w:val="center"/>
          </w:tcPr>
          <w:p w14:paraId="09A876D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6.2</w:t>
            </w:r>
          </w:p>
        </w:tc>
        <w:tc>
          <w:tcPr>
            <w:tcW w:w="7912" w:type="dxa"/>
            <w:vAlign w:val="center"/>
          </w:tcPr>
          <w:p w14:paraId="1EE4AFC3">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商务条款评审中允许负偏离的条款数为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项。</w:t>
            </w:r>
          </w:p>
          <w:p w14:paraId="46379D83">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服务需求评审中允许负偏离的条款数为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项。</w:t>
            </w:r>
          </w:p>
        </w:tc>
      </w:tr>
      <w:tr w14:paraId="6481A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Merge w:val="continue"/>
            <w:vAlign w:val="center"/>
          </w:tcPr>
          <w:p w14:paraId="1BAE0269">
            <w:pPr>
              <w:spacing w:line="360" w:lineRule="auto"/>
              <w:jc w:val="center"/>
              <w:rPr>
                <w:rFonts w:ascii="宋体" w:hAnsi="宋体" w:cs="宋体"/>
                <w:color w:val="auto"/>
                <w:szCs w:val="21"/>
                <w:highlight w:val="none"/>
              </w:rPr>
            </w:pPr>
          </w:p>
        </w:tc>
        <w:tc>
          <w:tcPr>
            <w:tcW w:w="7912" w:type="dxa"/>
            <w:vAlign w:val="center"/>
          </w:tcPr>
          <w:p w14:paraId="7D9F41E5">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磋商的顺序：</w:t>
            </w:r>
          </w:p>
          <w:p w14:paraId="61AFE088">
            <w:pPr>
              <w:pStyle w:val="7"/>
              <w:spacing w:line="360" w:lineRule="auto"/>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olor w:val="auto"/>
                <w:szCs w:val="21"/>
                <w:highlight w:val="none"/>
              </w:rPr>
              <w:t>按照</w:t>
            </w:r>
            <w:r>
              <w:rPr>
                <w:rFonts w:hint="eastAsia" w:ascii="宋体" w:hAnsi="宋体" w:cs="宋体"/>
                <w:color w:val="auto"/>
                <w:szCs w:val="21"/>
                <w:highlight w:val="none"/>
              </w:rPr>
              <w:t>提交首次响应文件的顺序，通知磋商时，若某供应商不在通知现场时（该供应商排序到最后磋商），按照签到的顺序由其下一位供应商先参与磋商。</w:t>
            </w:r>
          </w:p>
          <w:p w14:paraId="3345A271">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☑随机排序。</w:t>
            </w:r>
          </w:p>
          <w:p w14:paraId="11758525">
            <w:pPr>
              <w:pStyle w:val="7"/>
              <w:spacing w:line="360" w:lineRule="auto"/>
              <w:rPr>
                <w:rFonts w:ascii="宋体" w:hAnsi="宋体" w:cs="宋体"/>
                <w:b/>
                <w:color w:val="auto"/>
                <w:szCs w:val="21"/>
                <w:highlight w:val="none"/>
              </w:rPr>
            </w:pPr>
            <w:r>
              <w:rPr>
                <w:rFonts w:hint="eastAsia" w:ascii="宋体" w:hAnsi="宋体" w:cs="宋体"/>
                <w:b/>
                <w:color w:val="auto"/>
                <w:szCs w:val="21"/>
                <w:highlight w:val="none"/>
              </w:rPr>
              <w:t>参与磋商前，供应商法定代表人或者委托代理人必须向磋商小组出示本人有效证件原件</w:t>
            </w:r>
            <w:r>
              <w:rPr>
                <w:rFonts w:ascii="宋体" w:hAnsi="宋体" w:cs="宋体"/>
                <w:b/>
                <w:color w:val="auto"/>
                <w:szCs w:val="21"/>
                <w:highlight w:val="none"/>
              </w:rPr>
              <w:t>[</w:t>
            </w:r>
            <w:r>
              <w:rPr>
                <w:rFonts w:hint="eastAsia" w:ascii="宋体" w:hAnsi="宋体" w:cs="宋体"/>
                <w:b/>
                <w:color w:val="auto"/>
                <w:szCs w:val="21"/>
                <w:highlight w:val="none"/>
              </w:rPr>
              <w:t>有效证件可以是身份证（含临时身份证明）、机动车驾驶证、社会保障卡或者护照的其中一项]，若参与磋商的委托代理人不是响应文件中授权的委托代理人时，必须同时出示有效的法定代表人授权委托书原件，否则磋商小组将拒绝其参与磋商。</w:t>
            </w:r>
          </w:p>
        </w:tc>
      </w:tr>
      <w:tr w14:paraId="1CFA0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5D5D8F4B">
            <w:pPr>
              <w:spacing w:line="360" w:lineRule="auto"/>
              <w:jc w:val="center"/>
              <w:rPr>
                <w:rFonts w:ascii="宋体" w:hAnsi="宋体" w:cs="宋体"/>
                <w:color w:val="auto"/>
                <w:szCs w:val="21"/>
                <w:highlight w:val="none"/>
              </w:rPr>
            </w:pPr>
            <w:r>
              <w:rPr>
                <w:rFonts w:ascii="宋体" w:hAnsi="宋体" w:cs="宋体"/>
                <w:color w:val="auto"/>
                <w:szCs w:val="21"/>
                <w:highlight w:val="none"/>
              </w:rPr>
              <w:t>28.1</w:t>
            </w:r>
          </w:p>
        </w:tc>
        <w:tc>
          <w:tcPr>
            <w:tcW w:w="7912" w:type="dxa"/>
            <w:vAlign w:val="center"/>
          </w:tcPr>
          <w:p w14:paraId="694F298E">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履约保证金金额：/</w:t>
            </w:r>
          </w:p>
        </w:tc>
      </w:tr>
      <w:tr w14:paraId="60362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3F45703A">
            <w:pPr>
              <w:spacing w:line="360" w:lineRule="auto"/>
              <w:jc w:val="center"/>
              <w:rPr>
                <w:rFonts w:ascii="宋体" w:hAnsi="宋体" w:cs="宋体"/>
                <w:color w:val="auto"/>
                <w:szCs w:val="21"/>
                <w:highlight w:val="none"/>
              </w:rPr>
            </w:pPr>
            <w:r>
              <w:rPr>
                <w:rFonts w:ascii="宋体" w:hAnsi="宋体" w:cs="宋体"/>
                <w:color w:val="auto"/>
                <w:szCs w:val="21"/>
                <w:highlight w:val="none"/>
              </w:rPr>
              <w:t>29.1</w:t>
            </w:r>
          </w:p>
        </w:tc>
        <w:tc>
          <w:tcPr>
            <w:tcW w:w="7912" w:type="dxa"/>
            <w:vAlign w:val="center"/>
          </w:tcPr>
          <w:p w14:paraId="65EF3331">
            <w:pPr>
              <w:autoSpaceDE w:val="0"/>
              <w:autoSpaceDN w:val="0"/>
              <w:snapToGrid w:val="0"/>
              <w:spacing w:line="360" w:lineRule="auto"/>
              <w:textAlignment w:val="bottom"/>
              <w:rPr>
                <w:rFonts w:ascii="宋体" w:hAnsi="宋体"/>
                <w:color w:val="auto"/>
                <w:szCs w:val="21"/>
                <w:highlight w:val="none"/>
              </w:rPr>
            </w:pPr>
            <w:r>
              <w:rPr>
                <w:rFonts w:hint="eastAsia" w:ascii="宋体" w:hAnsi="宋体"/>
                <w:color w:val="auto"/>
                <w:szCs w:val="21"/>
                <w:highlight w:val="none"/>
              </w:rPr>
              <w:t xml:space="preserve">签订合同携带的证明材料： </w:t>
            </w:r>
          </w:p>
          <w:p w14:paraId="248BBBA4">
            <w:pPr>
              <w:autoSpaceDE w:val="0"/>
              <w:autoSpaceDN w:val="0"/>
              <w:snapToGrid w:val="0"/>
              <w:spacing w:line="360" w:lineRule="auto"/>
              <w:textAlignment w:val="bottom"/>
              <w:rPr>
                <w:rFonts w:ascii="宋体" w:hAnsi="宋体"/>
                <w:color w:val="auto"/>
                <w:szCs w:val="21"/>
                <w:highlight w:val="none"/>
              </w:rPr>
            </w:pPr>
            <w:r>
              <w:rPr>
                <w:rFonts w:hint="eastAsia" w:ascii="宋体" w:hAnsi="宋体"/>
                <w:color w:val="auto"/>
                <w:szCs w:val="21"/>
                <w:highlight w:val="none"/>
              </w:rPr>
              <w:t>委托代理人负责签订合同的，须携带授权委托书及委托代理人身份证原件等其他资格证件。</w:t>
            </w:r>
          </w:p>
          <w:p w14:paraId="1FAA3814">
            <w:pPr>
              <w:snapToGrid w:val="0"/>
              <w:spacing w:line="360" w:lineRule="auto"/>
              <w:rPr>
                <w:rFonts w:ascii="宋体" w:hAnsi="宋体" w:cs="宋体"/>
                <w:color w:val="auto"/>
                <w:szCs w:val="21"/>
                <w:highlight w:val="none"/>
              </w:rPr>
            </w:pPr>
            <w:r>
              <w:rPr>
                <w:rFonts w:hint="eastAsia" w:ascii="宋体" w:hAnsi="宋体"/>
                <w:color w:val="auto"/>
                <w:szCs w:val="21"/>
                <w:highlight w:val="none"/>
              </w:rPr>
              <w:t>法定代表人负责签订合同的，须携带法定代表人</w:t>
            </w:r>
            <w:r>
              <w:rPr>
                <w:rFonts w:ascii="宋体" w:hAnsi="宋体"/>
                <w:color w:val="auto"/>
                <w:szCs w:val="21"/>
                <w:highlight w:val="none"/>
              </w:rPr>
              <w:t>身份证明原件</w:t>
            </w:r>
            <w:r>
              <w:rPr>
                <w:rFonts w:hint="eastAsia" w:ascii="宋体" w:hAnsi="宋体"/>
                <w:color w:val="auto"/>
                <w:szCs w:val="21"/>
                <w:highlight w:val="none"/>
              </w:rPr>
              <w:t>及</w:t>
            </w:r>
            <w:r>
              <w:rPr>
                <w:rFonts w:ascii="宋体" w:hAnsi="宋体"/>
                <w:color w:val="auto"/>
                <w:szCs w:val="21"/>
                <w:highlight w:val="none"/>
              </w:rPr>
              <w:t>身份证原件</w:t>
            </w:r>
            <w:r>
              <w:rPr>
                <w:rFonts w:hint="eastAsia" w:ascii="宋体" w:hAnsi="宋体"/>
                <w:color w:val="auto"/>
                <w:szCs w:val="21"/>
                <w:highlight w:val="none"/>
              </w:rPr>
              <w:t>等其他证明材料。</w:t>
            </w:r>
          </w:p>
        </w:tc>
      </w:tr>
      <w:tr w14:paraId="47D9B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18407EE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3</w:t>
            </w:r>
            <w:r>
              <w:rPr>
                <w:rFonts w:ascii="宋体" w:hAnsi="宋体" w:cs="宋体"/>
                <w:color w:val="auto"/>
                <w:szCs w:val="21"/>
                <w:highlight w:val="none"/>
              </w:rPr>
              <w:t>1.2</w:t>
            </w:r>
          </w:p>
        </w:tc>
        <w:tc>
          <w:tcPr>
            <w:tcW w:w="7912" w:type="dxa"/>
            <w:vAlign w:val="center"/>
          </w:tcPr>
          <w:p w14:paraId="7D51AF58">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接收质疑函方式：以书面形式。</w:t>
            </w:r>
          </w:p>
          <w:p w14:paraId="41C0C917">
            <w:pPr>
              <w:pStyle w:val="12"/>
              <w:snapToGrid w:val="0"/>
              <w:spacing w:line="360" w:lineRule="auto"/>
              <w:rPr>
                <w:rFonts w:hAnsi="宋体" w:cs="宋体"/>
                <w:color w:val="auto"/>
                <w:kern w:val="2"/>
                <w:sz w:val="21"/>
                <w:highlight w:val="none"/>
              </w:rPr>
            </w:pPr>
            <w:r>
              <w:rPr>
                <w:rFonts w:hint="eastAsia" w:hAnsi="宋体" w:cs="宋体"/>
                <w:color w:val="auto"/>
                <w:kern w:val="2"/>
                <w:sz w:val="21"/>
                <w:highlight w:val="none"/>
              </w:rPr>
              <w:t>质疑联系部门及联系方式：详见竞争性磋商公告，通讯地址：（项目所在部门地址）</w:t>
            </w:r>
          </w:p>
          <w:p w14:paraId="1BEF5698">
            <w:pPr>
              <w:autoSpaceDE w:val="0"/>
              <w:autoSpaceDN w:val="0"/>
              <w:snapToGrid w:val="0"/>
              <w:spacing w:line="360" w:lineRule="auto"/>
              <w:textAlignment w:val="bottom"/>
              <w:rPr>
                <w:rFonts w:ascii="宋体" w:hAnsi="宋体"/>
                <w:color w:val="auto"/>
                <w:szCs w:val="21"/>
                <w:highlight w:val="none"/>
              </w:rPr>
            </w:pPr>
            <w:r>
              <w:rPr>
                <w:rFonts w:hint="eastAsia" w:hAnsi="宋体" w:cs="宋体"/>
                <w:color w:val="auto"/>
                <w:highlight w:val="none"/>
              </w:rPr>
              <w:t>业务时间：上午8时00分到12时00分，下午</w:t>
            </w:r>
            <w:r>
              <w:rPr>
                <w:rFonts w:hAnsi="宋体" w:cs="宋体"/>
                <w:color w:val="auto"/>
                <w:highlight w:val="none"/>
              </w:rPr>
              <w:t>3</w:t>
            </w:r>
            <w:r>
              <w:rPr>
                <w:rFonts w:hint="eastAsia" w:hAnsi="宋体" w:cs="宋体"/>
                <w:color w:val="auto"/>
                <w:highlight w:val="none"/>
              </w:rPr>
              <w:t>时00分到</w:t>
            </w:r>
            <w:r>
              <w:rPr>
                <w:rFonts w:hAnsi="宋体" w:cs="宋体"/>
                <w:color w:val="auto"/>
                <w:highlight w:val="none"/>
              </w:rPr>
              <w:t>6</w:t>
            </w:r>
            <w:r>
              <w:rPr>
                <w:rFonts w:hint="eastAsia" w:hAnsi="宋体" w:cs="宋体"/>
                <w:color w:val="auto"/>
                <w:highlight w:val="none"/>
              </w:rPr>
              <w:t>时00分，</w:t>
            </w:r>
            <w:r>
              <w:rPr>
                <w:rFonts w:hint="eastAsia" w:hAnsi="宋体"/>
                <w:color w:val="auto"/>
                <w:highlight w:val="none"/>
              </w:rPr>
              <w:t>业务时间以外、双休日和法定节假日不办理业务。</w:t>
            </w:r>
          </w:p>
        </w:tc>
      </w:tr>
      <w:tr w14:paraId="0D64A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05C8FF43">
            <w:pPr>
              <w:spacing w:line="360" w:lineRule="auto"/>
              <w:jc w:val="center"/>
              <w:rPr>
                <w:rFonts w:ascii="宋体" w:hAnsi="宋体" w:cs="宋体"/>
                <w:color w:val="auto"/>
                <w:szCs w:val="21"/>
                <w:highlight w:val="none"/>
              </w:rPr>
            </w:pPr>
            <w:r>
              <w:rPr>
                <w:rFonts w:ascii="宋体" w:hAnsi="宋体" w:cs="宋体"/>
                <w:color w:val="auto"/>
                <w:szCs w:val="21"/>
                <w:highlight w:val="none"/>
              </w:rPr>
              <w:t>32.1</w:t>
            </w:r>
          </w:p>
        </w:tc>
        <w:tc>
          <w:tcPr>
            <w:tcW w:w="7912" w:type="dxa"/>
            <w:vAlign w:val="center"/>
          </w:tcPr>
          <w:p w14:paraId="0AF5702E">
            <w:pPr>
              <w:pStyle w:val="12"/>
              <w:snapToGrid w:val="0"/>
              <w:spacing w:line="360" w:lineRule="auto"/>
              <w:rPr>
                <w:rFonts w:hAnsi="宋体" w:cs="宋体"/>
                <w:color w:val="auto"/>
                <w:sz w:val="21"/>
                <w:highlight w:val="none"/>
              </w:rPr>
            </w:pPr>
            <w:r>
              <w:rPr>
                <w:rFonts w:hint="eastAsia" w:hAnsi="宋体" w:cs="宋体"/>
                <w:color w:val="auto"/>
                <w:sz w:val="21"/>
                <w:highlight w:val="none"/>
              </w:rPr>
              <w:t>1.采购代理费支付方式：</w:t>
            </w:r>
          </w:p>
          <w:p w14:paraId="04DD4917">
            <w:pPr>
              <w:pStyle w:val="12"/>
              <w:snapToGrid w:val="0"/>
              <w:spacing w:line="360" w:lineRule="auto"/>
              <w:rPr>
                <w:rFonts w:hAnsi="宋体" w:cs="宋体"/>
                <w:color w:val="auto"/>
                <w:sz w:val="21"/>
                <w:highlight w:val="none"/>
              </w:rPr>
            </w:pPr>
            <w:r>
              <w:rPr>
                <w:rFonts w:hint="eastAsia" w:hAnsi="宋体" w:cs="宋体"/>
                <w:color w:val="auto"/>
                <w:sz w:val="21"/>
                <w:highlight w:val="none"/>
              </w:rPr>
              <w:t>☑本项目代理服务费由</w:t>
            </w:r>
            <w:r>
              <w:rPr>
                <w:rFonts w:hint="eastAsia" w:hAnsi="宋体" w:cs="宋体"/>
                <w:color w:val="auto"/>
                <w:sz w:val="21"/>
                <w:highlight w:val="none"/>
                <w:u w:val="single"/>
              </w:rPr>
              <w:t>成交供应商</w:t>
            </w:r>
            <w:r>
              <w:rPr>
                <w:rFonts w:hint="eastAsia" w:hAnsi="宋体" w:cs="宋体"/>
                <w:color w:val="auto"/>
                <w:sz w:val="21"/>
                <w:highlight w:val="none"/>
              </w:rPr>
              <w:t>领取成交通知书前，一次性向采购代理机构支付。</w:t>
            </w:r>
          </w:p>
          <w:p w14:paraId="3849A98F">
            <w:pPr>
              <w:pStyle w:val="12"/>
              <w:snapToGrid w:val="0"/>
              <w:spacing w:line="360" w:lineRule="auto"/>
              <w:rPr>
                <w:rFonts w:hAnsi="宋体" w:cs="宋体"/>
                <w:color w:val="auto"/>
                <w:sz w:val="21"/>
                <w:highlight w:val="none"/>
              </w:rPr>
            </w:pPr>
            <w:r>
              <w:rPr>
                <w:rFonts w:hint="eastAsia" w:hAnsi="宋体" w:cs="宋体"/>
                <w:color w:val="auto"/>
                <w:sz w:val="21"/>
                <w:highlight w:val="none"/>
              </w:rPr>
              <w:t>□采购人支付。</w:t>
            </w:r>
          </w:p>
          <w:p w14:paraId="7CFAA13F">
            <w:pPr>
              <w:pStyle w:val="12"/>
              <w:snapToGrid w:val="0"/>
              <w:spacing w:line="360" w:lineRule="auto"/>
              <w:rPr>
                <w:rFonts w:hAnsi="宋体" w:cs="宋体"/>
                <w:color w:val="auto"/>
                <w:sz w:val="21"/>
                <w:highlight w:val="none"/>
              </w:rPr>
            </w:pPr>
            <w:r>
              <w:rPr>
                <w:rFonts w:hint="eastAsia" w:hAnsi="宋体" w:cs="宋体"/>
                <w:color w:val="auto"/>
                <w:sz w:val="21"/>
                <w:highlight w:val="none"/>
              </w:rPr>
              <w:t>2.采购代理费收取标准：</w:t>
            </w:r>
          </w:p>
          <w:p w14:paraId="3608E6F9">
            <w:pPr>
              <w:pStyle w:val="12"/>
              <w:snapToGrid w:val="0"/>
              <w:spacing w:line="360" w:lineRule="auto"/>
              <w:rPr>
                <w:rFonts w:hAnsi="宋体" w:cs="宋体"/>
                <w:color w:val="auto"/>
                <w:sz w:val="21"/>
                <w:highlight w:val="none"/>
              </w:rPr>
            </w:pPr>
            <w:r>
              <w:rPr>
                <w:rFonts w:hint="eastAsia" w:hAnsi="宋体" w:cs="宋体"/>
                <w:color w:val="auto"/>
                <w:sz w:val="21"/>
                <w:highlight w:val="none"/>
              </w:rPr>
              <w:t>☑以分标（☑成交金额/□采购预算/□暂定成交金额/□其他</w:t>
            </w:r>
            <w:r>
              <w:rPr>
                <w:rFonts w:hint="eastAsia" w:hAnsi="宋体" w:cs="宋体"/>
                <w:color w:val="auto"/>
                <w:sz w:val="21"/>
                <w:highlight w:val="none"/>
                <w:u w:val="single"/>
              </w:rPr>
              <w:t xml:space="preserve"> </w:t>
            </w:r>
            <w:r>
              <w:rPr>
                <w:rFonts w:hAnsi="宋体" w:cs="宋体"/>
                <w:color w:val="auto"/>
                <w:sz w:val="21"/>
                <w:highlight w:val="none"/>
                <w:u w:val="single"/>
              </w:rPr>
              <w:t xml:space="preserve">  </w:t>
            </w:r>
            <w:r>
              <w:rPr>
                <w:rFonts w:hint="eastAsia" w:hAnsi="宋体" w:cs="宋体"/>
                <w:color w:val="auto"/>
                <w:sz w:val="21"/>
                <w:highlight w:val="none"/>
              </w:rPr>
              <w:t>）为计费额，按本须知正文第</w:t>
            </w:r>
            <w:r>
              <w:rPr>
                <w:rFonts w:hAnsi="宋体" w:cs="宋体"/>
                <w:color w:val="auto"/>
                <w:sz w:val="21"/>
                <w:highlight w:val="none"/>
              </w:rPr>
              <w:t>32</w:t>
            </w:r>
            <w:r>
              <w:rPr>
                <w:rFonts w:hint="eastAsia" w:hAnsi="宋体" w:cs="宋体"/>
                <w:color w:val="auto"/>
                <w:sz w:val="21"/>
                <w:highlight w:val="none"/>
              </w:rPr>
              <w:t>.</w:t>
            </w:r>
            <w:r>
              <w:rPr>
                <w:rFonts w:hAnsi="宋体" w:cs="宋体"/>
                <w:color w:val="auto"/>
                <w:sz w:val="21"/>
                <w:highlight w:val="none"/>
              </w:rPr>
              <w:t>2</w:t>
            </w:r>
            <w:r>
              <w:rPr>
                <w:rFonts w:hint="eastAsia" w:hAnsi="宋体" w:cs="宋体"/>
                <w:color w:val="auto"/>
                <w:sz w:val="21"/>
                <w:highlight w:val="none"/>
              </w:rPr>
              <w:t>条规定的收费计算标准（□货物类/☑服务类/□工程类）采用差额定率累进法计算出收费基准价格，采购代理收费以（</w:t>
            </w:r>
            <w:r>
              <w:rPr>
                <w:rFonts w:hint="eastAsia" w:hAnsi="宋体" w:cs="宋体"/>
                <w:color w:val="auto"/>
                <w:sz w:val="21"/>
                <w:highlight w:val="none"/>
                <w:lang w:eastAsia="zh-CN"/>
              </w:rPr>
              <w:t>□</w:t>
            </w:r>
            <w:r>
              <w:rPr>
                <w:rFonts w:hint="eastAsia" w:hAnsi="宋体" w:cs="宋体"/>
                <w:color w:val="auto"/>
                <w:sz w:val="21"/>
                <w:highlight w:val="none"/>
              </w:rPr>
              <w:t>收费基准价格/</w:t>
            </w:r>
            <w:r>
              <w:rPr>
                <w:rFonts w:hint="eastAsia" w:hAnsi="宋体" w:cs="宋体"/>
                <w:color w:val="auto"/>
                <w:sz w:val="21"/>
                <w:highlight w:val="none"/>
                <w:lang w:eastAsia="zh-CN"/>
              </w:rPr>
              <w:t>☑</w:t>
            </w:r>
            <w:r>
              <w:rPr>
                <w:rFonts w:hint="eastAsia" w:hAnsi="宋体" w:cs="宋体"/>
                <w:color w:val="auto"/>
                <w:sz w:val="21"/>
                <w:highlight w:val="none"/>
              </w:rPr>
              <w:t>收费基准价格下浮</w:t>
            </w:r>
            <w:r>
              <w:rPr>
                <w:rFonts w:hint="eastAsia" w:hAnsi="宋体" w:cs="宋体"/>
                <w:color w:val="auto"/>
                <w:sz w:val="21"/>
                <w:highlight w:val="none"/>
                <w:u w:val="single"/>
              </w:rPr>
              <w:t xml:space="preserve"> </w:t>
            </w:r>
            <w:r>
              <w:rPr>
                <w:rFonts w:hint="eastAsia" w:hAnsi="宋体" w:cs="宋体"/>
                <w:color w:val="auto"/>
                <w:sz w:val="21"/>
                <w:highlight w:val="none"/>
                <w:u w:val="single"/>
                <w:lang w:val="en-US" w:eastAsia="zh-CN"/>
              </w:rPr>
              <w:t>20</w:t>
            </w:r>
            <w:r>
              <w:rPr>
                <w:rFonts w:hAnsi="宋体" w:cs="宋体"/>
                <w:color w:val="auto"/>
                <w:sz w:val="21"/>
                <w:highlight w:val="none"/>
                <w:u w:val="single"/>
              </w:rPr>
              <w:t xml:space="preserve"> </w:t>
            </w:r>
            <w:r>
              <w:rPr>
                <w:rFonts w:hint="eastAsia" w:hAnsi="宋体" w:cs="宋体"/>
                <w:color w:val="auto"/>
                <w:sz w:val="21"/>
                <w:highlight w:val="none"/>
                <w:u w:val="single"/>
              </w:rPr>
              <w:t>%</w:t>
            </w:r>
            <w:r>
              <w:rPr>
                <w:rFonts w:hAnsi="宋体" w:cs="宋体"/>
                <w:color w:val="auto"/>
                <w:sz w:val="21"/>
                <w:highlight w:val="none"/>
              </w:rPr>
              <w:t>/</w:t>
            </w:r>
            <w:r>
              <w:rPr>
                <w:rFonts w:hint="eastAsia" w:hAnsi="宋体" w:cs="宋体"/>
                <w:color w:val="auto"/>
                <w:sz w:val="21"/>
                <w:highlight w:val="none"/>
              </w:rPr>
              <w:t>□收费基准价格上浮</w:t>
            </w:r>
            <w:r>
              <w:rPr>
                <w:rFonts w:hint="eastAsia" w:hAnsi="宋体" w:cs="宋体"/>
                <w:color w:val="auto"/>
                <w:sz w:val="21"/>
                <w:highlight w:val="none"/>
                <w:u w:val="single"/>
              </w:rPr>
              <w:t xml:space="preserve"> </w:t>
            </w:r>
            <w:r>
              <w:rPr>
                <w:rFonts w:hAnsi="宋体" w:cs="宋体"/>
                <w:color w:val="auto"/>
                <w:sz w:val="21"/>
                <w:highlight w:val="none"/>
                <w:u w:val="single"/>
              </w:rPr>
              <w:t xml:space="preserve">  </w:t>
            </w:r>
            <w:r>
              <w:rPr>
                <w:rFonts w:hint="eastAsia" w:hAnsi="宋体" w:cs="宋体"/>
                <w:color w:val="auto"/>
                <w:sz w:val="21"/>
                <w:highlight w:val="none"/>
                <w:u w:val="single"/>
              </w:rPr>
              <w:t>%</w:t>
            </w:r>
            <w:r>
              <w:rPr>
                <w:rFonts w:hint="eastAsia" w:hAnsi="宋体" w:cs="宋体"/>
                <w:color w:val="auto"/>
                <w:sz w:val="21"/>
                <w:highlight w:val="none"/>
              </w:rPr>
              <w:t>）收取。</w:t>
            </w:r>
          </w:p>
          <w:p w14:paraId="0E91A651">
            <w:pPr>
              <w:pStyle w:val="12"/>
              <w:snapToGrid w:val="0"/>
              <w:spacing w:line="360" w:lineRule="auto"/>
              <w:rPr>
                <w:rFonts w:hAnsi="宋体" w:cs="宋体"/>
                <w:color w:val="auto"/>
                <w:sz w:val="21"/>
                <w:highlight w:val="none"/>
                <w:u w:val="single"/>
              </w:rPr>
            </w:pPr>
            <w:r>
              <w:rPr>
                <w:rFonts w:hint="eastAsia" w:hAnsi="宋体" w:cs="宋体"/>
                <w:color w:val="auto"/>
                <w:sz w:val="21"/>
                <w:highlight w:val="none"/>
              </w:rPr>
              <w:t>□固定采购代理收费</w:t>
            </w:r>
            <w:r>
              <w:rPr>
                <w:rFonts w:hint="eastAsia" w:hAnsi="宋体" w:cs="宋体"/>
                <w:color w:val="auto"/>
                <w:sz w:val="21"/>
                <w:highlight w:val="none"/>
                <w:u w:val="single"/>
              </w:rPr>
              <w:t xml:space="preserve">              。</w:t>
            </w:r>
          </w:p>
          <w:p w14:paraId="04A62C53">
            <w:pPr>
              <w:pStyle w:val="12"/>
              <w:snapToGrid w:val="0"/>
              <w:spacing w:line="360" w:lineRule="auto"/>
              <w:rPr>
                <w:rFonts w:hAnsi="宋体" w:cs="宋体"/>
                <w:color w:val="auto"/>
                <w:sz w:val="21"/>
                <w:highlight w:val="none"/>
              </w:rPr>
            </w:pPr>
            <w:r>
              <w:rPr>
                <w:rFonts w:hint="eastAsia" w:hAnsi="宋体" w:cs="宋体"/>
                <w:color w:val="auto"/>
                <w:sz w:val="21"/>
                <w:highlight w:val="none"/>
              </w:rPr>
              <w:t>3. 采购代理费收取银行账户</w:t>
            </w:r>
          </w:p>
          <w:p w14:paraId="75FF16C9">
            <w:pPr>
              <w:pStyle w:val="12"/>
              <w:snapToGrid w:val="0"/>
              <w:spacing w:line="360" w:lineRule="auto"/>
              <w:rPr>
                <w:rFonts w:hAnsi="宋体" w:cs="宋体"/>
                <w:color w:val="auto"/>
                <w:sz w:val="21"/>
                <w:highlight w:val="none"/>
              </w:rPr>
            </w:pPr>
            <w:r>
              <w:rPr>
                <w:rFonts w:hint="eastAsia" w:hAnsi="宋体" w:cs="宋体"/>
                <w:color w:val="auto"/>
                <w:sz w:val="21"/>
                <w:highlight w:val="none"/>
              </w:rPr>
              <w:t xml:space="preserve">开户名称： </w:t>
            </w:r>
          </w:p>
          <w:p w14:paraId="561A046B">
            <w:pPr>
              <w:pStyle w:val="12"/>
              <w:snapToGrid w:val="0"/>
              <w:spacing w:line="360" w:lineRule="auto"/>
              <w:rPr>
                <w:rFonts w:hAnsi="宋体" w:cs="宋体"/>
                <w:color w:val="auto"/>
                <w:sz w:val="21"/>
                <w:highlight w:val="none"/>
              </w:rPr>
            </w:pPr>
            <w:r>
              <w:rPr>
                <w:rFonts w:hint="eastAsia" w:hAnsi="宋体" w:cs="宋体"/>
                <w:color w:val="auto"/>
                <w:sz w:val="21"/>
                <w:highlight w:val="none"/>
              </w:rPr>
              <w:t xml:space="preserve">开户银行： </w:t>
            </w:r>
          </w:p>
          <w:p w14:paraId="3F287030">
            <w:pPr>
              <w:pStyle w:val="12"/>
              <w:snapToGrid w:val="0"/>
              <w:spacing w:line="360" w:lineRule="auto"/>
              <w:rPr>
                <w:rFonts w:hAnsi="宋体" w:cs="宋体"/>
                <w:color w:val="auto"/>
                <w:sz w:val="21"/>
                <w:highlight w:val="none"/>
              </w:rPr>
            </w:pPr>
            <w:r>
              <w:rPr>
                <w:rFonts w:hint="eastAsia" w:hAnsi="宋体" w:cs="宋体"/>
                <w:color w:val="auto"/>
                <w:sz w:val="21"/>
                <w:highlight w:val="none"/>
              </w:rPr>
              <w:t xml:space="preserve">银行账号： </w:t>
            </w:r>
          </w:p>
        </w:tc>
      </w:tr>
      <w:tr w14:paraId="7A845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69D3A298">
            <w:pPr>
              <w:pStyle w:val="12"/>
              <w:snapToGrid w:val="0"/>
              <w:spacing w:line="360" w:lineRule="auto"/>
              <w:rPr>
                <w:rFonts w:hAnsi="宋体" w:cs="宋体"/>
                <w:color w:val="auto"/>
                <w:sz w:val="21"/>
                <w:highlight w:val="none"/>
              </w:rPr>
            </w:pPr>
            <w:r>
              <w:rPr>
                <w:rFonts w:hint="eastAsia" w:hAnsi="宋体" w:cs="宋体"/>
                <w:color w:val="auto"/>
                <w:sz w:val="21"/>
                <w:highlight w:val="none"/>
              </w:rPr>
              <w:t>33.1</w:t>
            </w:r>
          </w:p>
        </w:tc>
        <w:tc>
          <w:tcPr>
            <w:tcW w:w="7912" w:type="dxa"/>
            <w:vAlign w:val="center"/>
          </w:tcPr>
          <w:p w14:paraId="7711A218">
            <w:pPr>
              <w:pStyle w:val="12"/>
              <w:snapToGrid w:val="0"/>
              <w:spacing w:line="360" w:lineRule="auto"/>
              <w:rPr>
                <w:rFonts w:hAnsi="宋体" w:cs="宋体"/>
                <w:color w:val="auto"/>
                <w:sz w:val="21"/>
                <w:highlight w:val="none"/>
              </w:rPr>
            </w:pPr>
            <w:r>
              <w:rPr>
                <w:rFonts w:hint="eastAsia" w:hAnsi="宋体" w:cs="宋体"/>
                <w:color w:val="auto"/>
                <w:sz w:val="21"/>
                <w:highlight w:val="none"/>
              </w:rPr>
              <w:t>解释：构成本磋商文件的各个组成文件应互为解释，互为说明；除磋商文件中有特别规定外，仅适用于竞标阶段的规定，按更正公告（澄清公告）、竞争性磋商公告、供应商须知、采购需求、评审程序、评审方法和评审标准、响应文件格式、合同文本的先后顺序解释；同一组成文件中就同一事项的规定或者约定不一致的，以编排顺序在后者为准；同一组成文件不同版本之间有不一致的，以形成时间在后者为准；更正公告（澄清公告）与同步更新的磋商文件不一致时以更正公告（澄清公告）为准。按本款前述规定仍不能形成结论的，由采购人或者采购代理机构负责解释。</w:t>
            </w:r>
          </w:p>
        </w:tc>
      </w:tr>
      <w:tr w14:paraId="019F8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42E6BFC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3</w:t>
            </w:r>
            <w:r>
              <w:rPr>
                <w:rFonts w:ascii="宋体" w:hAnsi="宋体" w:cs="宋体"/>
                <w:color w:val="auto"/>
                <w:szCs w:val="21"/>
                <w:highlight w:val="none"/>
              </w:rPr>
              <w:t>3.2</w:t>
            </w:r>
          </w:p>
        </w:tc>
        <w:tc>
          <w:tcPr>
            <w:tcW w:w="7912" w:type="dxa"/>
            <w:vAlign w:val="center"/>
          </w:tcPr>
          <w:p w14:paraId="2957747B">
            <w:pPr>
              <w:pStyle w:val="12"/>
              <w:snapToGrid w:val="0"/>
              <w:spacing w:line="360" w:lineRule="auto"/>
              <w:rPr>
                <w:rFonts w:hAnsi="宋体" w:cs="宋体"/>
                <w:color w:val="auto"/>
                <w:sz w:val="21"/>
                <w:highlight w:val="none"/>
              </w:rPr>
            </w:pPr>
            <w:r>
              <w:rPr>
                <w:rFonts w:hint="eastAsia" w:hAnsi="宋体" w:cs="宋体"/>
                <w:color w:val="auto"/>
                <w:sz w:val="21"/>
                <w:highlight w:val="none"/>
              </w:rPr>
              <w:t>1.本磋商文件中描述供应商的“公章”是指根据我国对公章的管理规定，用供应商法定主体行为名称制作的印章，除本磋商文件有特殊规定外，供应商的财务章、部门章、分公司章、工会章、合同章、竞标/投标专用章、业务专用章及银行的转账章、现金收讫章、现金付讫章等其他形式印章均不能代替公章。</w:t>
            </w:r>
          </w:p>
          <w:p w14:paraId="1B1C67F4">
            <w:pPr>
              <w:pStyle w:val="12"/>
              <w:snapToGrid w:val="0"/>
              <w:spacing w:line="360" w:lineRule="auto"/>
              <w:rPr>
                <w:rFonts w:hAnsi="宋体" w:cs="宋体"/>
                <w:color w:val="auto"/>
                <w:sz w:val="21"/>
                <w:highlight w:val="none"/>
              </w:rPr>
            </w:pPr>
            <w:r>
              <w:rPr>
                <w:rFonts w:hint="eastAsia" w:hAnsi="宋体" w:cs="宋体"/>
                <w:color w:val="auto"/>
                <w:sz w:val="21"/>
                <w:highlight w:val="none"/>
              </w:rPr>
              <w:t>2.供应商为其他组织或者自然人时，本磋商文件规定的法定代表人指负责人或者自然人。本磋商文件所称负责人是指参加竞标的其他组织营业执照上的负责人，本磋商文件所称自然人指参与竞标的自然人本人。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2BCCCA3E">
            <w:pPr>
              <w:pStyle w:val="12"/>
              <w:snapToGrid w:val="0"/>
              <w:spacing w:line="360" w:lineRule="auto"/>
              <w:rPr>
                <w:rFonts w:hAnsi="宋体" w:cs="宋体"/>
                <w:color w:val="auto"/>
                <w:sz w:val="21"/>
                <w:highlight w:val="none"/>
              </w:rPr>
            </w:pPr>
            <w:r>
              <w:rPr>
                <w:rFonts w:hAnsi="宋体" w:cs="宋体"/>
                <w:color w:val="auto"/>
                <w:sz w:val="21"/>
                <w:highlight w:val="none"/>
              </w:rPr>
              <w:t>3.</w:t>
            </w:r>
            <w:r>
              <w:rPr>
                <w:rFonts w:hint="eastAsia" w:hAnsi="宋体" w:cs="宋体"/>
                <w:color w:val="auto"/>
                <w:sz w:val="21"/>
                <w:highlight w:val="none"/>
              </w:rPr>
              <w:t>本磋商文件中描述供应商的“签字”是指供应商的法定代表人或者委托代理人亲自在文件规定签署处亲笔写上个人的名字的行为，私章、签字章、印鉴、影印等其他形式均不能代替亲笔签字。</w:t>
            </w:r>
          </w:p>
          <w:p w14:paraId="6A7774C1">
            <w:pPr>
              <w:pStyle w:val="12"/>
              <w:snapToGrid w:val="0"/>
              <w:spacing w:line="360" w:lineRule="auto"/>
              <w:rPr>
                <w:rFonts w:hAnsi="宋体" w:cs="宋体"/>
                <w:color w:val="auto"/>
                <w:sz w:val="21"/>
                <w:highlight w:val="none"/>
              </w:rPr>
            </w:pPr>
            <w:r>
              <w:rPr>
                <w:rFonts w:hAnsi="宋体" w:cs="宋体"/>
                <w:color w:val="auto"/>
                <w:sz w:val="21"/>
                <w:highlight w:val="none"/>
              </w:rPr>
              <w:t>4.</w:t>
            </w:r>
            <w:r>
              <w:rPr>
                <w:rFonts w:hint="eastAsia" w:hAnsi="宋体" w:cs="宋体"/>
                <w:color w:val="auto"/>
                <w:sz w:val="21"/>
                <w:highlight w:val="none"/>
              </w:rPr>
              <w:t>自然人竞标的，磋商文件规定盖公章处由自然人摁手指指印。</w:t>
            </w:r>
          </w:p>
          <w:p w14:paraId="03C6EDDA">
            <w:pPr>
              <w:pStyle w:val="12"/>
              <w:snapToGrid w:val="0"/>
              <w:spacing w:line="360" w:lineRule="auto"/>
              <w:rPr>
                <w:rFonts w:hAnsi="宋体" w:cs="宋体"/>
                <w:color w:val="auto"/>
                <w:sz w:val="21"/>
                <w:highlight w:val="none"/>
              </w:rPr>
            </w:pPr>
            <w:r>
              <w:rPr>
                <w:rFonts w:hint="eastAsia" w:hAnsi="宋体" w:cs="宋体"/>
                <w:color w:val="auto"/>
                <w:sz w:val="21"/>
                <w:highlight w:val="none"/>
              </w:rPr>
              <w:t>5</w:t>
            </w:r>
            <w:r>
              <w:rPr>
                <w:rFonts w:hAnsi="宋体" w:cs="宋体"/>
                <w:color w:val="auto"/>
                <w:sz w:val="21"/>
                <w:highlight w:val="none"/>
              </w:rPr>
              <w:t>.</w:t>
            </w:r>
            <w:r>
              <w:rPr>
                <w:rFonts w:hint="eastAsia" w:hAnsi="宋体" w:cs="宋体"/>
                <w:color w:val="auto"/>
                <w:sz w:val="21"/>
                <w:highlight w:val="none"/>
              </w:rPr>
              <w:t>本磋商文件所称的“以上”“以下”“以内”“届满”，包括本数；所称的“不满”“超过”“以外”，不包括本数。</w:t>
            </w:r>
          </w:p>
        </w:tc>
      </w:tr>
      <w:tr w14:paraId="29F8E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92" w:type="dxa"/>
            <w:vAlign w:val="center"/>
          </w:tcPr>
          <w:p w14:paraId="7D36D186">
            <w:pPr>
              <w:spacing w:line="360" w:lineRule="auto"/>
              <w:jc w:val="center"/>
              <w:rPr>
                <w:rFonts w:hint="eastAsia" w:ascii="宋体" w:hAnsi="宋体" w:cs="宋体"/>
                <w:color w:val="auto"/>
                <w:szCs w:val="21"/>
                <w:highlight w:val="none"/>
              </w:rPr>
            </w:pPr>
          </w:p>
        </w:tc>
        <w:tc>
          <w:tcPr>
            <w:tcW w:w="7912" w:type="dxa"/>
            <w:vAlign w:val="center"/>
          </w:tcPr>
          <w:p w14:paraId="6FFF9597">
            <w:pPr>
              <w:pStyle w:val="12"/>
              <w:snapToGrid w:val="0"/>
              <w:spacing w:line="360" w:lineRule="auto"/>
              <w:rPr>
                <w:rFonts w:hint="default" w:hAnsi="宋体" w:eastAsia="宋体" w:cs="宋体"/>
                <w:color w:val="auto"/>
                <w:sz w:val="21"/>
                <w:highlight w:val="none"/>
                <w:lang w:val="en-US" w:eastAsia="zh-CN"/>
              </w:rPr>
            </w:pPr>
            <w:r>
              <w:rPr>
                <w:rFonts w:hint="eastAsia" w:hAnsi="宋体" w:cs="宋体"/>
                <w:color w:val="auto"/>
                <w:sz w:val="21"/>
                <w:highlight w:val="none"/>
                <w:lang w:val="en-US" w:eastAsia="zh-CN"/>
              </w:rPr>
              <w:t>行业划分：</w:t>
            </w:r>
            <w:r>
              <w:rPr>
                <w:rFonts w:hint="eastAsia" w:ascii="宋体" w:hAnsi="宋体" w:eastAsia="宋体" w:cs="宋体"/>
                <w:color w:val="auto"/>
                <w:sz w:val="21"/>
                <w:szCs w:val="21"/>
                <w:highlight w:val="none"/>
                <w:lang w:eastAsia="zh-CN"/>
              </w:rPr>
              <w:t>物业管理</w:t>
            </w:r>
          </w:p>
        </w:tc>
      </w:tr>
    </w:tbl>
    <w:p w14:paraId="5F14E3C4">
      <w:pPr>
        <w:spacing w:line="400" w:lineRule="exact"/>
        <w:jc w:val="center"/>
        <w:rPr>
          <w:rFonts w:ascii="宋体" w:hAnsi="宋体"/>
          <w:b/>
          <w:color w:val="auto"/>
          <w:sz w:val="32"/>
          <w:szCs w:val="32"/>
          <w:highlight w:val="none"/>
        </w:rPr>
      </w:pPr>
      <w:r>
        <w:rPr>
          <w:rFonts w:ascii="宋体" w:hAnsi="宋体"/>
          <w:b/>
          <w:color w:val="auto"/>
          <w:sz w:val="32"/>
          <w:szCs w:val="32"/>
          <w:highlight w:val="none"/>
        </w:rPr>
        <w:br w:type="page"/>
      </w:r>
      <w:r>
        <w:rPr>
          <w:rFonts w:hint="eastAsia" w:ascii="宋体" w:hAnsi="宋体"/>
          <w:b/>
          <w:color w:val="auto"/>
          <w:sz w:val="32"/>
          <w:szCs w:val="32"/>
          <w:highlight w:val="none"/>
        </w:rPr>
        <w:t>供应商须知正文</w:t>
      </w:r>
    </w:p>
    <w:p w14:paraId="3F72B7E9">
      <w:pPr>
        <w:spacing w:line="400" w:lineRule="exact"/>
        <w:jc w:val="center"/>
        <w:rPr>
          <w:rFonts w:ascii="宋体" w:hAnsi="宋体"/>
          <w:b/>
          <w:color w:val="auto"/>
          <w:sz w:val="32"/>
          <w:szCs w:val="32"/>
          <w:highlight w:val="none"/>
        </w:rPr>
      </w:pPr>
    </w:p>
    <w:p w14:paraId="2F06458E">
      <w:pPr>
        <w:spacing w:line="400" w:lineRule="exact"/>
        <w:jc w:val="center"/>
        <w:rPr>
          <w:rFonts w:ascii="宋体" w:hAnsi="宋体"/>
          <w:b/>
          <w:color w:val="auto"/>
          <w:sz w:val="32"/>
          <w:szCs w:val="32"/>
          <w:highlight w:val="none"/>
        </w:rPr>
      </w:pPr>
      <w:r>
        <w:rPr>
          <w:rFonts w:hint="eastAsia" w:ascii="宋体" w:hAnsi="宋体"/>
          <w:b/>
          <w:color w:val="auto"/>
          <w:sz w:val="32"/>
          <w:szCs w:val="32"/>
          <w:highlight w:val="none"/>
        </w:rPr>
        <w:t>一、总则</w:t>
      </w:r>
    </w:p>
    <w:p w14:paraId="1EA71F3F">
      <w:pPr>
        <w:spacing w:line="400" w:lineRule="exact"/>
        <w:rPr>
          <w:rFonts w:ascii="宋体" w:hAnsi="宋体"/>
          <w:color w:val="auto"/>
          <w:szCs w:val="21"/>
          <w:highlight w:val="none"/>
        </w:rPr>
      </w:pPr>
    </w:p>
    <w:p w14:paraId="0C667261">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1.适用范围</w:t>
      </w:r>
    </w:p>
    <w:p w14:paraId="513EB97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1.1本项目采购人、采购代理机构、供应商、磋商小组的相关行为均</w:t>
      </w:r>
      <w:r>
        <w:rPr>
          <w:rFonts w:hint="eastAsia" w:ascii="宋体" w:hAnsi="宋体" w:cs="宋体"/>
          <w:color w:val="auto"/>
          <w:szCs w:val="21"/>
          <w:highlight w:val="none"/>
          <w:lang w:val="en-US" w:eastAsia="zh-CN"/>
        </w:rPr>
        <w:t>参考</w:t>
      </w:r>
      <w:r>
        <w:rPr>
          <w:rFonts w:hint="eastAsia" w:ascii="宋体" w:hAnsi="宋体" w:cs="宋体"/>
          <w:color w:val="auto"/>
          <w:szCs w:val="21"/>
          <w:highlight w:val="none"/>
        </w:rPr>
        <w:t>《中华人民共和国政府采购法》《中华人民共和国政府采购法实施条例》</w:t>
      </w:r>
      <w:r>
        <w:rPr>
          <w:rFonts w:hint="eastAsia" w:ascii="宋体" w:hAnsi="宋体"/>
          <w:color w:val="auto"/>
          <w:szCs w:val="21"/>
          <w:highlight w:val="none"/>
        </w:rPr>
        <w:t>《政府采购竞争性磋商采购方式管理暂行办法》《财政部关于政府采购竞争性磋商采购方式管理暂行办法有关问题的补充通知》</w:t>
      </w:r>
      <w:r>
        <w:rPr>
          <w:rFonts w:hint="eastAsia" w:ascii="宋体" w:hAnsi="宋体" w:cs="宋体"/>
          <w:color w:val="auto"/>
          <w:szCs w:val="21"/>
          <w:highlight w:val="none"/>
        </w:rPr>
        <w:t>有关规定的约束和保护。</w:t>
      </w:r>
    </w:p>
    <w:p w14:paraId="6E5D2BD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1.2</w:t>
      </w:r>
      <w:r>
        <w:rPr>
          <w:rFonts w:hint="eastAsia" w:ascii="宋体" w:hAnsi="宋体" w:cs="宋体"/>
          <w:color w:val="auto"/>
          <w:spacing w:val="-6"/>
          <w:szCs w:val="21"/>
          <w:highlight w:val="none"/>
        </w:rPr>
        <w:t>本竞争性磋商文件（以下简称磋商文件）适用于本项目的所有采购程序和环节（法律、法规另有规定的，从其规定）。</w:t>
      </w:r>
    </w:p>
    <w:p w14:paraId="0766F63A">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2.定义</w:t>
      </w:r>
    </w:p>
    <w:p w14:paraId="1400C7F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2.1“采购人”是指</w:t>
      </w:r>
      <w:r>
        <w:rPr>
          <w:rFonts w:hint="eastAsia" w:ascii="宋体" w:hAnsi="宋体" w:cs="宋体"/>
          <w:bCs/>
          <w:color w:val="auto"/>
          <w:szCs w:val="21"/>
          <w:highlight w:val="none"/>
          <w:lang w:eastAsia="zh-CN"/>
        </w:rPr>
        <w:t xml:space="preserve">广西中泰象郡建设投资有限公司 </w:t>
      </w:r>
      <w:r>
        <w:rPr>
          <w:rFonts w:hint="eastAsia" w:ascii="宋体" w:hAnsi="宋体" w:cs="宋体"/>
          <w:color w:val="auto"/>
          <w:szCs w:val="21"/>
          <w:highlight w:val="none"/>
        </w:rPr>
        <w:t>。</w:t>
      </w:r>
    </w:p>
    <w:p w14:paraId="7D033D37">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2.2“采购代理机构”是指</w:t>
      </w:r>
      <w:r>
        <w:rPr>
          <w:rFonts w:hint="eastAsia" w:ascii="宋体" w:hAnsi="宋体" w:cs="宋体"/>
          <w:color w:val="auto"/>
          <w:szCs w:val="21"/>
          <w:highlight w:val="none"/>
          <w:lang w:val="en-US" w:eastAsia="zh-CN"/>
        </w:rPr>
        <w:t>广西崇善项目咨询有限公司</w:t>
      </w:r>
      <w:r>
        <w:rPr>
          <w:rFonts w:hint="eastAsia" w:ascii="宋体" w:hAnsi="宋体" w:cs="宋体"/>
          <w:color w:val="auto"/>
          <w:szCs w:val="21"/>
          <w:highlight w:val="none"/>
        </w:rPr>
        <w:t>。</w:t>
      </w:r>
    </w:p>
    <w:p w14:paraId="005070E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2.3“供应商”是指向采购人提供货物、工程或者服务的法人、其他组织或者自然人。</w:t>
      </w:r>
    </w:p>
    <w:p w14:paraId="2908F703">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2.4“服务”是指除货物和工程以外的其他政府采购对象。</w:t>
      </w:r>
    </w:p>
    <w:p w14:paraId="57F8E96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5</w:t>
      </w:r>
      <w:r>
        <w:rPr>
          <w:rFonts w:hint="eastAsia" w:ascii="宋体" w:hAnsi="宋体" w:cs="宋体"/>
          <w:color w:val="auto"/>
          <w:szCs w:val="21"/>
          <w:highlight w:val="none"/>
        </w:rPr>
        <w:t>“竞标”是指供应商按照本项目竞争性磋商公告规定的方式获取磋商文件、提交响应文件并希望获得标的的行为。</w:t>
      </w:r>
    </w:p>
    <w:p w14:paraId="03202A2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6</w:t>
      </w:r>
      <w:r>
        <w:rPr>
          <w:rFonts w:hint="eastAsia" w:ascii="宋体" w:hAnsi="宋体" w:cs="宋体"/>
          <w:color w:val="auto"/>
          <w:szCs w:val="21"/>
          <w:highlight w:val="none"/>
        </w:rPr>
        <w:t>“响应文件”</w:t>
      </w:r>
      <w:r>
        <w:rPr>
          <w:rFonts w:hint="eastAsia" w:ascii="宋体" w:hAnsi="宋体" w:cs="宋体"/>
          <w:color w:val="auto"/>
          <w:spacing w:val="-6"/>
          <w:szCs w:val="21"/>
          <w:highlight w:val="none"/>
        </w:rPr>
        <w:t>是指：供应商根据本磋商文件要求，编制包含资格证明、报价商务技术等所有内容的文件。</w:t>
      </w:r>
    </w:p>
    <w:p w14:paraId="03FE0A6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7</w:t>
      </w:r>
      <w:r>
        <w:rPr>
          <w:rFonts w:hint="eastAsia" w:ascii="宋体" w:hAnsi="宋体" w:cs="宋体"/>
          <w:color w:val="auto"/>
          <w:szCs w:val="21"/>
          <w:highlight w:val="none"/>
        </w:rPr>
        <w:t>“实质性要求”是指磋商文件中已经指明不满足则响应文件按无效响应处理的条款，或者不能负偏离的条款，或者采购需求中带“▲”的条款。</w:t>
      </w:r>
    </w:p>
    <w:p w14:paraId="43E23BB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8</w:t>
      </w:r>
      <w:r>
        <w:rPr>
          <w:rFonts w:hint="eastAsia" w:ascii="宋体" w:hAnsi="宋体" w:cs="宋体"/>
          <w:color w:val="auto"/>
          <w:szCs w:val="21"/>
          <w:highlight w:val="none"/>
        </w:rPr>
        <w:t>“正偏离”，是指响应文件对磋商文件“采购需求”中有关条款作出的响应优于条款要求并有利于采购人的情形。</w:t>
      </w:r>
    </w:p>
    <w:p w14:paraId="591A60BF">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2.9</w:t>
      </w:r>
      <w:r>
        <w:rPr>
          <w:rFonts w:hint="eastAsia" w:ascii="宋体" w:hAnsi="宋体" w:cs="宋体"/>
          <w:color w:val="auto"/>
          <w:szCs w:val="21"/>
          <w:highlight w:val="none"/>
        </w:rPr>
        <w:t>“负偏离”，是指响应文件对磋商文件“采购需求”中有关条款作出的响应不满足条款要求，导致采购人要求不能得到满足的情形。</w:t>
      </w:r>
    </w:p>
    <w:p w14:paraId="63FE588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2.10“允许负偏离的条款”是指采购需求中的不属于“实质性要求”的条款。</w:t>
      </w:r>
    </w:p>
    <w:p w14:paraId="2F97F8E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11</w:t>
      </w:r>
      <w:r>
        <w:rPr>
          <w:rFonts w:hint="eastAsia" w:ascii="宋体" w:hAnsi="宋体" w:cs="宋体"/>
          <w:color w:val="auto"/>
          <w:szCs w:val="21"/>
          <w:highlight w:val="none"/>
        </w:rPr>
        <w:t>“书面形式”是指合同书、信件和数据电文（包括电报、电传、传真、电子数据交换和电子邮件）等可以有形地表现所载内容的形式。</w:t>
      </w:r>
    </w:p>
    <w:p w14:paraId="7434B46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12</w:t>
      </w:r>
      <w:r>
        <w:rPr>
          <w:rFonts w:hint="eastAsia" w:ascii="宋体" w:hAnsi="宋体" w:cs="宋体"/>
          <w:color w:val="auto"/>
          <w:szCs w:val="21"/>
          <w:highlight w:val="none"/>
        </w:rPr>
        <w:t>“首次报价”是指供应商提交的首次响应文件中的报价。</w:t>
      </w:r>
    </w:p>
    <w:p w14:paraId="24F977E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2.1</w:t>
      </w:r>
      <w:r>
        <w:rPr>
          <w:rFonts w:ascii="宋体" w:hAnsi="宋体" w:cs="宋体"/>
          <w:color w:val="auto"/>
          <w:szCs w:val="21"/>
          <w:highlight w:val="none"/>
        </w:rPr>
        <w:t>3</w:t>
      </w:r>
      <w:r>
        <w:rPr>
          <w:rFonts w:hint="eastAsia" w:ascii="宋体" w:hAnsi="宋体" w:cs="宋体"/>
          <w:color w:val="auto"/>
          <w:szCs w:val="21"/>
          <w:highlight w:val="none"/>
        </w:rPr>
        <w:t>“评审报价”是指供应商提交的最后报价并经修正（如有）和政策功能价格扣除（如有）后的价格。</w:t>
      </w:r>
    </w:p>
    <w:p w14:paraId="1179EACE">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3.供应商的资格条件</w:t>
      </w:r>
    </w:p>
    <w:p w14:paraId="0D31AD6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供应商的资格条件详见“供应商须知前附表”。</w:t>
      </w:r>
    </w:p>
    <w:p w14:paraId="45D68769">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4.竞标费用</w:t>
      </w:r>
    </w:p>
    <w:p w14:paraId="5215A10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供应商应承担参与本次采购活动有关的所有费用，包括但不限于获取磋商文件、勘查现场、编制和提交响应文件、参加磋商与应答、签订合同等，不论竞标结果如何，均应自行承担。</w:t>
      </w:r>
    </w:p>
    <w:p w14:paraId="22D09517">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5.联合体竞标</w:t>
      </w:r>
    </w:p>
    <w:p w14:paraId="36F468A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5.1本项目是否接受联合体竞标，详见“供应商须知前附表”。</w:t>
      </w:r>
    </w:p>
    <w:p w14:paraId="595E90B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5.2</w:t>
      </w:r>
      <w:r>
        <w:rPr>
          <w:rFonts w:hint="eastAsia" w:ascii="宋体" w:hAnsi="宋体"/>
          <w:color w:val="auto"/>
          <w:highlight w:val="none"/>
        </w:rPr>
        <w:t>如接受联合体竞标，</w:t>
      </w:r>
      <w:r>
        <w:rPr>
          <w:rFonts w:hint="eastAsia" w:ascii="宋体" w:hAnsi="宋体" w:cs="宋体"/>
          <w:color w:val="auto"/>
          <w:szCs w:val="21"/>
          <w:highlight w:val="none"/>
        </w:rPr>
        <w:t>联合体竞标要求详见“供应商须知前附表”。</w:t>
      </w:r>
    </w:p>
    <w:p w14:paraId="6D495135">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 xml:space="preserve">6.转包与分包             </w:t>
      </w:r>
    </w:p>
    <w:p w14:paraId="30BD410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6.1本项目不允许转包。</w:t>
      </w:r>
    </w:p>
    <w:p w14:paraId="6773D32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6.2本项目是否允许分包详见“供应商须知前附表”，本项目不允许违法分包。</w:t>
      </w:r>
    </w:p>
    <w:p w14:paraId="61784872">
      <w:pPr>
        <w:spacing w:line="360" w:lineRule="auto"/>
        <w:ind w:firstLine="482" w:firstLineChars="200"/>
        <w:rPr>
          <w:rFonts w:ascii="黑体" w:hAnsi="黑体" w:eastAsia="黑体" w:cs="宋体"/>
          <w:b/>
          <w:bCs/>
          <w:color w:val="auto"/>
          <w:sz w:val="24"/>
          <w:highlight w:val="none"/>
        </w:rPr>
      </w:pPr>
      <w:bookmarkStart w:id="64" w:name="_Toc254970532"/>
      <w:bookmarkStart w:id="65" w:name="_Toc254970673"/>
      <w:r>
        <w:rPr>
          <w:rFonts w:hint="eastAsia" w:ascii="黑体" w:hAnsi="黑体" w:eastAsia="黑体" w:cs="宋体"/>
          <w:b/>
          <w:bCs/>
          <w:color w:val="auto"/>
          <w:sz w:val="24"/>
          <w:highlight w:val="none"/>
        </w:rPr>
        <w:t>7.特别说明</w:t>
      </w:r>
      <w:bookmarkEnd w:id="64"/>
      <w:bookmarkEnd w:id="65"/>
    </w:p>
    <w:p w14:paraId="5E802FFA">
      <w:pPr>
        <w:spacing w:line="360" w:lineRule="auto"/>
        <w:ind w:firstLine="420" w:firstLineChars="200"/>
        <w:rPr>
          <w:rFonts w:ascii="宋体" w:hAnsi="宋体" w:cs="宋体"/>
          <w:color w:val="auto"/>
          <w:szCs w:val="21"/>
          <w:highlight w:val="none"/>
        </w:rPr>
      </w:pPr>
      <w:bookmarkStart w:id="66" w:name="_8.1提供相同品牌产品且通过资格审查、符合性审查的不同投标人参加同一合"/>
      <w:bookmarkEnd w:id="66"/>
      <w:r>
        <w:rPr>
          <w:rFonts w:hint="eastAsia" w:ascii="宋体" w:hAnsi="宋体" w:cs="宋体"/>
          <w:color w:val="auto"/>
          <w:szCs w:val="21"/>
          <w:highlight w:val="none"/>
        </w:rPr>
        <w:t>7.</w:t>
      </w:r>
      <w:r>
        <w:rPr>
          <w:rFonts w:ascii="宋体" w:hAnsi="宋体" w:cs="宋体"/>
          <w:color w:val="auto"/>
          <w:szCs w:val="21"/>
          <w:highlight w:val="none"/>
        </w:rPr>
        <w:t>1</w:t>
      </w:r>
      <w:bookmarkStart w:id="67" w:name="_Hlk65832145"/>
      <w:r>
        <w:rPr>
          <w:rFonts w:hint="eastAsia" w:ascii="宋体" w:hAnsi="宋体"/>
          <w:color w:val="auto"/>
          <w:szCs w:val="21"/>
          <w:highlight w:val="none"/>
        </w:rPr>
        <w:t xml:space="preserve">如果本磋商文件要求提供供应商或制造商的资格、信誉、荣誉、业绩与企业认证等材料的，资格、信誉、荣誉、业绩与企业认证等必须为供应商或者制造商所拥有或自身获得 </w:t>
      </w:r>
      <w:r>
        <w:rPr>
          <w:rFonts w:hint="eastAsia" w:ascii="宋体" w:hAnsi="宋体" w:cs="宋体"/>
          <w:color w:val="auto"/>
          <w:szCs w:val="21"/>
          <w:highlight w:val="none"/>
        </w:rPr>
        <w:t>。</w:t>
      </w:r>
    </w:p>
    <w:bookmarkEnd w:id="67"/>
    <w:p w14:paraId="76BD7F9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w:t>
      </w:r>
      <w:r>
        <w:rPr>
          <w:rFonts w:ascii="宋体" w:hAnsi="宋体" w:cs="宋体"/>
          <w:color w:val="auto"/>
          <w:szCs w:val="21"/>
          <w:highlight w:val="none"/>
        </w:rPr>
        <w:t>2</w:t>
      </w:r>
      <w:r>
        <w:rPr>
          <w:rFonts w:hint="eastAsia" w:ascii="宋体" w:hAnsi="宋体" w:cs="宋体"/>
          <w:color w:val="auto"/>
          <w:szCs w:val="21"/>
          <w:highlight w:val="none"/>
        </w:rPr>
        <w:t>供应商应仔细阅读磋商文件的所有内容，按照磋商文件的要求提交响应文件，并对所提供的全部资料的真实性承担法律责任。</w:t>
      </w:r>
    </w:p>
    <w:p w14:paraId="5ED54BD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w:t>
      </w:r>
      <w:r>
        <w:rPr>
          <w:rFonts w:ascii="宋体" w:hAnsi="宋体" w:cs="宋体"/>
          <w:color w:val="auto"/>
          <w:szCs w:val="21"/>
          <w:highlight w:val="none"/>
        </w:rPr>
        <w:t>3</w:t>
      </w:r>
      <w:r>
        <w:rPr>
          <w:rFonts w:hint="eastAsia" w:ascii="宋体" w:hAnsi="宋体" w:cs="宋体"/>
          <w:color w:val="auto"/>
          <w:szCs w:val="21"/>
          <w:highlight w:val="none"/>
        </w:rPr>
        <w:t>供应商在竞标活动中提供任何疑似虚假材料，将报监管部门查处；签订合同后发现的，成交供应商须依照《中华人民共和国消费者权益保护法》规定赔偿采购人，且民事赔偿并不免除违法供应商的行政与刑事责任。</w:t>
      </w:r>
    </w:p>
    <w:p w14:paraId="37CADAD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w:t>
      </w:r>
      <w:r>
        <w:rPr>
          <w:rFonts w:ascii="宋体" w:hAnsi="宋体" w:cs="宋体"/>
          <w:color w:val="auto"/>
          <w:szCs w:val="21"/>
          <w:highlight w:val="none"/>
        </w:rPr>
        <w:t>4</w:t>
      </w:r>
      <w:r>
        <w:rPr>
          <w:rFonts w:hint="eastAsia" w:ascii="宋体" w:hAnsi="宋体" w:cs="宋体"/>
          <w:color w:val="auto"/>
          <w:szCs w:val="21"/>
          <w:highlight w:val="none"/>
        </w:rPr>
        <w:t>在采购活动中，采购人员及相关人员与供应商有下列利害关系之一的，应当回避：</w:t>
      </w:r>
    </w:p>
    <w:p w14:paraId="7C3AF16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（1）参加采购活动前3年内与供应商存在劳动关系；</w:t>
      </w:r>
    </w:p>
    <w:p w14:paraId="7C4BE13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（2）参加采购活动前3年内担任供应商的董事、监事；</w:t>
      </w:r>
    </w:p>
    <w:p w14:paraId="060B20D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（3）参加采购活动前3年内是供应商的控股股东或者实际控制人；</w:t>
      </w:r>
    </w:p>
    <w:p w14:paraId="73F7C4A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（4）与供应商的法定代表人或者负责人有夫妻、直系血亲、三代以内旁系血亲或者近姻亲关系；</w:t>
      </w:r>
    </w:p>
    <w:p w14:paraId="0341024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（5）与供应商有其他可能影响采购活动公平、公正进行的关系。</w:t>
      </w:r>
    </w:p>
    <w:p w14:paraId="7000568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14:paraId="5805180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w:t>
      </w:r>
      <w:r>
        <w:rPr>
          <w:rFonts w:ascii="宋体" w:hAnsi="宋体" w:cs="宋体"/>
          <w:color w:val="auto"/>
          <w:szCs w:val="21"/>
          <w:highlight w:val="none"/>
        </w:rPr>
        <w:t>5</w:t>
      </w:r>
      <w:r>
        <w:rPr>
          <w:rFonts w:hint="eastAsia" w:ascii="宋体" w:hAnsi="宋体" w:cs="宋体"/>
          <w:color w:val="auto"/>
          <w:szCs w:val="21"/>
          <w:highlight w:val="none"/>
        </w:rPr>
        <w:t>有下列情形之一的视为供应商相互串通竞标，响应文件将被视为无效：</w:t>
      </w:r>
    </w:p>
    <w:p w14:paraId="56775C9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（1）不同供应商的响应文件由同一单位或者个人编制； </w:t>
      </w:r>
    </w:p>
    <w:p w14:paraId="3C2818D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（2）不同供应商委托同一单位或者个人办理竞标事宜；</w:t>
      </w:r>
    </w:p>
    <w:p w14:paraId="694D15D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（3）不同的供应商的响应文件载明的项目管理员为同一个人；</w:t>
      </w:r>
    </w:p>
    <w:p w14:paraId="4D4AD17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（4）不同供应商的响应文件异常一致或者报价呈规律性差异；</w:t>
      </w:r>
    </w:p>
    <w:p w14:paraId="4A5364B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（5）不同供应商的响应文件相互混装；</w:t>
      </w:r>
    </w:p>
    <w:p w14:paraId="7C4C15DF">
      <w:pPr>
        <w:tabs>
          <w:tab w:val="left" w:pos="6931"/>
        </w:tabs>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（6）不同供应商的磋商保证金从同一单位或者个人账户转出。</w:t>
      </w:r>
      <w:r>
        <w:rPr>
          <w:rFonts w:ascii="宋体" w:hAnsi="宋体" w:cs="宋体"/>
          <w:color w:val="auto"/>
          <w:szCs w:val="21"/>
          <w:highlight w:val="none"/>
        </w:rPr>
        <w:tab/>
      </w:r>
    </w:p>
    <w:p w14:paraId="0DF0183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w:t>
      </w:r>
      <w:r>
        <w:rPr>
          <w:rFonts w:ascii="宋体" w:hAnsi="宋体" w:cs="宋体"/>
          <w:color w:val="auto"/>
          <w:szCs w:val="21"/>
          <w:highlight w:val="none"/>
        </w:rPr>
        <w:t>6</w:t>
      </w:r>
      <w:r>
        <w:rPr>
          <w:rFonts w:hint="eastAsia" w:ascii="宋体" w:hAnsi="宋体" w:cs="宋体"/>
          <w:color w:val="auto"/>
          <w:szCs w:val="21"/>
          <w:highlight w:val="none"/>
        </w:rPr>
        <w:t>供应商有下列情形之一的，属于恶意串通行为，将报同级监督管理部门：</w:t>
      </w:r>
    </w:p>
    <w:p w14:paraId="4EDD570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（1）供应商直接或者间接从采购人或者采购代理机构处获得其他供应商的相关信息并修改其响应文件；</w:t>
      </w:r>
    </w:p>
    <w:p w14:paraId="1C60CD7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（2）供应商按照采购人或者采购代理机构的授意撤换、修改响应文件；</w:t>
      </w:r>
    </w:p>
    <w:p w14:paraId="48B5FB0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（3）供应商之间协商报价、技术方案等响应文件或者响应文件的实质性内容；</w:t>
      </w:r>
    </w:p>
    <w:p w14:paraId="086B53D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（4）属于同一集团、协会、商会等组织成员的供应商按照该组织要求协同参加采购活动；</w:t>
      </w:r>
    </w:p>
    <w:p w14:paraId="187C505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（5）供应商之间事先约定一致抬高或者压低报价，或者在采购活动中事先约定轮流以高价位或者低价位成交，或者事先约定由某一特定供应商成交，然后再参加竞标；</w:t>
      </w:r>
    </w:p>
    <w:p w14:paraId="7422453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（6）供应商之间商定部分供应商放弃参加采购活动或者放弃成交；</w:t>
      </w:r>
    </w:p>
    <w:p w14:paraId="61C6FAC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（7）供应商与采购人或者采购代理机构之间、供应商相互之间，为谋求特定供应商成交或者排斥其他供应商的其他串通行为。</w:t>
      </w:r>
    </w:p>
    <w:p w14:paraId="139259BF">
      <w:pPr>
        <w:spacing w:line="360" w:lineRule="auto"/>
        <w:jc w:val="center"/>
        <w:rPr>
          <w:rFonts w:ascii="宋体" w:hAnsi="宋体"/>
          <w:b/>
          <w:bCs/>
          <w:color w:val="auto"/>
          <w:sz w:val="32"/>
          <w:szCs w:val="32"/>
          <w:highlight w:val="none"/>
        </w:rPr>
      </w:pPr>
      <w:bookmarkStart w:id="68" w:name="_Toc254970675"/>
      <w:bookmarkStart w:id="69" w:name="_Toc254970534"/>
      <w:r>
        <w:rPr>
          <w:rFonts w:hint="eastAsia" w:ascii="宋体" w:hAnsi="宋体"/>
          <w:b/>
          <w:bCs/>
          <w:color w:val="auto"/>
          <w:sz w:val="32"/>
          <w:szCs w:val="32"/>
          <w:highlight w:val="none"/>
        </w:rPr>
        <w:t>二、磋商文件</w:t>
      </w:r>
      <w:bookmarkEnd w:id="68"/>
      <w:bookmarkEnd w:id="69"/>
    </w:p>
    <w:p w14:paraId="7089B858">
      <w:pPr>
        <w:spacing w:line="360" w:lineRule="auto"/>
        <w:rPr>
          <w:rFonts w:ascii="宋体" w:hAnsi="宋体"/>
          <w:color w:val="auto"/>
          <w:szCs w:val="21"/>
          <w:highlight w:val="none"/>
        </w:rPr>
      </w:pPr>
    </w:p>
    <w:p w14:paraId="6E71FE81">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8.磋商文件的构成</w:t>
      </w:r>
    </w:p>
    <w:p w14:paraId="263D827E">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（1）竞争性磋商公告；</w:t>
      </w:r>
    </w:p>
    <w:p w14:paraId="20C3D758">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（2）供应商须知； </w:t>
      </w:r>
    </w:p>
    <w:p w14:paraId="14290DF5">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（3）采购需求；</w:t>
      </w:r>
    </w:p>
    <w:p w14:paraId="06093252">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（4）评审程序、评审方法和评审标准；</w:t>
      </w:r>
    </w:p>
    <w:p w14:paraId="29DC1DC0">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（5）响应文件格式；</w:t>
      </w:r>
    </w:p>
    <w:p w14:paraId="7C6E1DCC">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（6）合同文本。</w:t>
      </w:r>
    </w:p>
    <w:p w14:paraId="277A0D27">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9.供应商的询问</w:t>
      </w:r>
    </w:p>
    <w:p w14:paraId="1057565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供应商应认真阅读磋商文件的采购需求，如供应商对磋商文件有疑问的，如要求采购人作出澄清或者修改的，供应商尽可能在</w:t>
      </w:r>
      <w:r>
        <w:rPr>
          <w:rFonts w:ascii="宋体" w:hAnsi="宋体"/>
          <w:color w:val="auto"/>
          <w:szCs w:val="21"/>
          <w:highlight w:val="none"/>
        </w:rPr>
        <w:t>提交首次响应文件截止之日前</w:t>
      </w:r>
      <w:r>
        <w:rPr>
          <w:rFonts w:hint="eastAsia" w:ascii="宋体" w:hAnsi="宋体"/>
          <w:color w:val="auto"/>
          <w:szCs w:val="21"/>
          <w:highlight w:val="none"/>
        </w:rPr>
        <w:t>，以书面形式向</w:t>
      </w:r>
      <w:r>
        <w:rPr>
          <w:rFonts w:ascii="宋体" w:hAnsi="宋体"/>
          <w:color w:val="auto"/>
          <w:szCs w:val="21"/>
          <w:highlight w:val="none"/>
        </w:rPr>
        <w:t>采购人、采购代理机构</w:t>
      </w:r>
      <w:r>
        <w:rPr>
          <w:rFonts w:hint="eastAsia" w:ascii="宋体" w:hAnsi="宋体"/>
          <w:color w:val="auto"/>
          <w:szCs w:val="21"/>
          <w:highlight w:val="none"/>
        </w:rPr>
        <w:t>提出。</w:t>
      </w:r>
    </w:p>
    <w:p w14:paraId="0197A119">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10.磋商文件的澄清和修改</w:t>
      </w:r>
    </w:p>
    <w:p w14:paraId="310BE19F">
      <w:pPr>
        <w:spacing w:line="360" w:lineRule="auto"/>
        <w:ind w:firstLine="420" w:firstLineChars="200"/>
        <w:rPr>
          <w:rFonts w:ascii="宋体" w:hAnsi="宋体"/>
          <w:color w:val="auto"/>
          <w:szCs w:val="21"/>
          <w:highlight w:val="none"/>
        </w:rPr>
      </w:pPr>
      <w:r>
        <w:rPr>
          <w:rFonts w:ascii="宋体" w:hAnsi="宋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在提交首次响应文件截止之日3个工作日前，以书面形式通知所有</w:t>
      </w:r>
      <w:r>
        <w:rPr>
          <w:rFonts w:hint="eastAsia" w:ascii="宋体" w:hAnsi="宋体"/>
          <w:color w:val="auto"/>
          <w:szCs w:val="21"/>
          <w:highlight w:val="none"/>
        </w:rPr>
        <w:t>获取</w:t>
      </w:r>
      <w:r>
        <w:rPr>
          <w:rFonts w:ascii="宋体" w:hAnsi="宋体"/>
          <w:color w:val="auto"/>
          <w:szCs w:val="21"/>
          <w:highlight w:val="none"/>
        </w:rPr>
        <w:t>磋商文件的供应商，不足3个工作日的，应当顺延提交首次响应文件截止之日。</w:t>
      </w:r>
    </w:p>
    <w:p w14:paraId="2FDB6AAE">
      <w:pPr>
        <w:spacing w:line="360" w:lineRule="auto"/>
        <w:rPr>
          <w:rFonts w:ascii="宋体" w:hAnsi="宋体"/>
          <w:color w:val="auto"/>
          <w:szCs w:val="21"/>
          <w:highlight w:val="none"/>
        </w:rPr>
      </w:pPr>
    </w:p>
    <w:p w14:paraId="0F9852FE">
      <w:pPr>
        <w:spacing w:line="360" w:lineRule="auto"/>
        <w:jc w:val="center"/>
        <w:rPr>
          <w:rFonts w:ascii="宋体" w:hAnsi="宋体"/>
          <w:b/>
          <w:bCs/>
          <w:color w:val="auto"/>
          <w:szCs w:val="21"/>
          <w:highlight w:val="none"/>
        </w:rPr>
      </w:pPr>
      <w:r>
        <w:rPr>
          <w:rFonts w:hint="eastAsia" w:ascii="宋体" w:hAnsi="宋体"/>
          <w:b/>
          <w:bCs/>
          <w:color w:val="auto"/>
          <w:sz w:val="32"/>
          <w:szCs w:val="32"/>
          <w:highlight w:val="none"/>
        </w:rPr>
        <w:t>三、响应文件的编制</w:t>
      </w:r>
    </w:p>
    <w:p w14:paraId="61B497D3">
      <w:pPr>
        <w:spacing w:line="360" w:lineRule="auto"/>
        <w:rPr>
          <w:rFonts w:ascii="宋体" w:hAnsi="宋体"/>
          <w:color w:val="auto"/>
          <w:szCs w:val="21"/>
          <w:highlight w:val="none"/>
        </w:rPr>
      </w:pPr>
    </w:p>
    <w:p w14:paraId="68316F06">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11.响应文件的编制原则</w:t>
      </w:r>
    </w:p>
    <w:p w14:paraId="4B7D3AF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供应商必须按照磋商文件的要求编制响应文件，并对其提交的响应文件的真实性、合法性承担法律责任。响应文件必须对磋商文件作出实质性响应。</w:t>
      </w:r>
    </w:p>
    <w:p w14:paraId="1E4B938F">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12.响应文件的组成</w:t>
      </w:r>
    </w:p>
    <w:p w14:paraId="5468A48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12.1响应文件由资格证明文件、报价商务技术文件两部分组成。</w:t>
      </w:r>
    </w:p>
    <w:p w14:paraId="4D7C7EC6">
      <w:pPr>
        <w:spacing w:line="360" w:lineRule="auto"/>
        <w:ind w:left="840" w:leftChars="200" w:hanging="420" w:hanging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2.1.1</w:t>
      </w:r>
      <w:r>
        <w:rPr>
          <w:rFonts w:hint="eastAsia" w:ascii="宋体" w:hAnsi="宋体" w:cs="宋体"/>
          <w:color w:val="auto"/>
          <w:szCs w:val="21"/>
          <w:highlight w:val="none"/>
        </w:rPr>
        <w:t>资格证明文件：详见须知前附表</w:t>
      </w:r>
    </w:p>
    <w:p w14:paraId="3C184075">
      <w:pPr>
        <w:spacing w:line="360" w:lineRule="auto"/>
        <w:ind w:left="840" w:leftChars="200" w:hanging="420" w:hanging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2.1.2</w:t>
      </w:r>
      <w:r>
        <w:rPr>
          <w:rFonts w:hint="eastAsia" w:ascii="宋体" w:hAnsi="宋体" w:cs="宋体"/>
          <w:color w:val="auto"/>
          <w:szCs w:val="21"/>
          <w:highlight w:val="none"/>
        </w:rPr>
        <w:t>报价商务技术文件：详见须知前附表</w:t>
      </w:r>
    </w:p>
    <w:p w14:paraId="096D89C5">
      <w:pPr>
        <w:spacing w:line="360" w:lineRule="auto"/>
        <w:ind w:left="840" w:leftChars="200" w:hanging="420" w:hangingChars="200"/>
        <w:rPr>
          <w:rFonts w:ascii="宋体" w:hAnsi="宋体" w:cs="宋体"/>
          <w:color w:val="auto"/>
          <w:szCs w:val="21"/>
          <w:highlight w:val="none"/>
        </w:rPr>
      </w:pPr>
      <w:r>
        <w:rPr>
          <w:rFonts w:hint="eastAsia" w:ascii="宋体" w:hAnsi="宋体" w:cs="宋体"/>
          <w:color w:val="auto"/>
          <w:szCs w:val="21"/>
          <w:highlight w:val="none"/>
        </w:rPr>
        <w:t>12.</w:t>
      </w:r>
      <w:r>
        <w:rPr>
          <w:rFonts w:ascii="宋体" w:hAnsi="宋体" w:cs="宋体"/>
          <w:color w:val="auto"/>
          <w:szCs w:val="21"/>
          <w:highlight w:val="none"/>
        </w:rPr>
        <w:t>2</w:t>
      </w:r>
      <w:r>
        <w:rPr>
          <w:rFonts w:hint="eastAsia" w:ascii="宋体" w:hAnsi="宋体" w:cs="宋体"/>
          <w:color w:val="auto"/>
          <w:szCs w:val="21"/>
          <w:highlight w:val="none"/>
        </w:rPr>
        <w:t>响应文件电子版：详见须知前附表</w:t>
      </w:r>
    </w:p>
    <w:p w14:paraId="4A4B060F">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13.计量单位</w:t>
      </w:r>
    </w:p>
    <w:p w14:paraId="3B344FD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磋商文件已有明确规定的，使用磋商文件规定的计量单位；磋商文件没有规定的，应采用中华人民共和国法定计量单位，货币种类为人民币，否则视同未响应。</w:t>
      </w:r>
    </w:p>
    <w:p w14:paraId="60E764CF">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14.竞标的风险</w:t>
      </w:r>
    </w:p>
    <w:p w14:paraId="28134F8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供应商没有按照磋商文件要求提供全部资料，或者供应商没有对磋商文件在各方面作出实质性响应可能导致其响应无效，是供应商应当考虑的风险。</w:t>
      </w:r>
    </w:p>
    <w:p w14:paraId="07DE272A">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15.竞标报价要求和构成</w:t>
      </w:r>
    </w:p>
    <w:p w14:paraId="7091302D">
      <w:pPr>
        <w:tabs>
          <w:tab w:val="left" w:pos="2492"/>
        </w:tabs>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15.1竞标报价应按磋商文件中“竞标报价表”格式填写。</w:t>
      </w:r>
    </w:p>
    <w:p w14:paraId="0CF217DA">
      <w:pPr>
        <w:tabs>
          <w:tab w:val="left" w:pos="2492"/>
        </w:tabs>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15.2竞标报价的价格构成见“供应商须知前附表”。</w:t>
      </w:r>
    </w:p>
    <w:p w14:paraId="3E89B015">
      <w:pPr>
        <w:spacing w:line="360" w:lineRule="auto"/>
        <w:ind w:left="426" w:leftChars="203"/>
        <w:rPr>
          <w:rFonts w:ascii="宋体" w:hAnsi="宋体" w:cs="宋体"/>
          <w:color w:val="auto"/>
          <w:szCs w:val="21"/>
          <w:highlight w:val="none"/>
        </w:rPr>
      </w:pPr>
      <w:r>
        <w:rPr>
          <w:rFonts w:hint="eastAsia" w:ascii="宋体" w:hAnsi="宋体" w:cs="宋体"/>
          <w:color w:val="auto"/>
          <w:szCs w:val="21"/>
          <w:highlight w:val="none"/>
        </w:rPr>
        <w:t>15.3竞标报价要求</w:t>
      </w:r>
    </w:p>
    <w:p w14:paraId="4334DDB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5.3.1</w:t>
      </w:r>
      <w:r>
        <w:rPr>
          <w:rFonts w:hint="eastAsia" w:ascii="宋体" w:hAnsi="宋体" w:cs="宋体"/>
          <w:color w:val="auto"/>
          <w:szCs w:val="21"/>
          <w:highlight w:val="none"/>
        </w:rPr>
        <w:t>供应商的竞标报价应符合以下要求，否则响应文件按无效响应处理：</w:t>
      </w:r>
    </w:p>
    <w:p w14:paraId="5E2A5EEA">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（1）供应商必须就“采购需求”中所竞标的每个分标的全部内容分别作完整唯一总价报价，</w:t>
      </w:r>
    </w:p>
    <w:p w14:paraId="1A882202">
      <w:pPr>
        <w:spacing w:line="360" w:lineRule="auto"/>
        <w:rPr>
          <w:rFonts w:ascii="宋体" w:hAnsi="宋体" w:cs="宋体"/>
          <w:color w:val="auto"/>
          <w:szCs w:val="21"/>
          <w:highlight w:val="none"/>
        </w:rPr>
      </w:pPr>
      <w:r>
        <w:rPr>
          <w:rFonts w:hint="eastAsia" w:ascii="宋体" w:hAnsi="宋体" w:cs="宋体"/>
          <w:color w:val="auto"/>
          <w:szCs w:val="21"/>
          <w:highlight w:val="none"/>
        </w:rPr>
        <w:t>不得存在漏项报价；</w:t>
      </w:r>
    </w:p>
    <w:p w14:paraId="738D68E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）供应商必须就所竞标的分标的单项内容作唯一报价。</w:t>
      </w:r>
    </w:p>
    <w:p w14:paraId="12FDB53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15.3.</w:t>
      </w:r>
      <w:r>
        <w:rPr>
          <w:rFonts w:ascii="宋体" w:hAnsi="宋体" w:cs="宋体"/>
          <w:color w:val="auto"/>
          <w:szCs w:val="21"/>
          <w:highlight w:val="none"/>
        </w:rPr>
        <w:t>2</w:t>
      </w:r>
      <w:r>
        <w:rPr>
          <w:rFonts w:hint="eastAsia" w:ascii="宋体" w:hAnsi="宋体" w:cs="宋体"/>
          <w:color w:val="auto"/>
          <w:szCs w:val="21"/>
          <w:highlight w:val="none"/>
        </w:rPr>
        <w:t>竞标报价（包含首次报价、最后报价）超过所竞标分标规定的采购预算金额或者最高限价的，其响应文件将作无效处理。</w:t>
      </w:r>
    </w:p>
    <w:p w14:paraId="2A1DD66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15.3.</w:t>
      </w:r>
      <w:r>
        <w:rPr>
          <w:rFonts w:ascii="宋体" w:hAnsi="宋体" w:cs="宋体"/>
          <w:color w:val="auto"/>
          <w:szCs w:val="21"/>
          <w:highlight w:val="none"/>
        </w:rPr>
        <w:t>3</w:t>
      </w:r>
      <w:bookmarkStart w:id="70" w:name="_Hlk42592874"/>
      <w:r>
        <w:rPr>
          <w:rFonts w:hint="eastAsia" w:ascii="宋体" w:hAnsi="宋体" w:cs="宋体"/>
          <w:color w:val="auto"/>
          <w:szCs w:val="21"/>
          <w:highlight w:val="none"/>
        </w:rPr>
        <w:t>竞标报价（包含首次报价、最后报价）超过分项采购预算金额或者最高限价的，其响应文件将作无效处理。</w:t>
      </w:r>
    </w:p>
    <w:bookmarkEnd w:id="70"/>
    <w:p w14:paraId="55B7C619">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16.竞标有效期</w:t>
      </w:r>
    </w:p>
    <w:p w14:paraId="0637974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16.1竞标有效期是指为保证采购人有足够的时间在提交响应文件后完成评审、确定成交供应商、合同签订等工作而要求供应商提交的响应文件在一定时间内保持有效的期限。</w:t>
      </w:r>
    </w:p>
    <w:p w14:paraId="1DB2813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16.2 竞标有效期应由供应商按“供应商须知前附表”规定的期限作出响应。</w:t>
      </w:r>
    </w:p>
    <w:p w14:paraId="6413E45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16.3供应商的响应文件在竞标有效期内均保持有效。</w:t>
      </w:r>
    </w:p>
    <w:p w14:paraId="6A2B8A69">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17.磋商保证金</w:t>
      </w:r>
    </w:p>
    <w:p w14:paraId="2369CFD0">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17.1供应商须按“供应商须知前附表”的规定提交磋商保证金。</w:t>
      </w:r>
    </w:p>
    <w:p w14:paraId="2D562718">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17.2磋商保证金的退还</w:t>
      </w:r>
    </w:p>
    <w:p w14:paraId="5D2696F6">
      <w:pPr>
        <w:spacing w:line="360" w:lineRule="auto"/>
        <w:ind w:firstLine="420" w:firstLineChars="200"/>
        <w:rPr>
          <w:rFonts w:ascii="宋体" w:hAnsi="宋体" w:cs="宋体"/>
          <w:color w:val="auto"/>
          <w:szCs w:val="21"/>
          <w:highlight w:val="none"/>
        </w:rPr>
      </w:pPr>
      <w:bookmarkStart w:id="71" w:name="_Hlk66782243"/>
      <w:r>
        <w:rPr>
          <w:rFonts w:hint="eastAsia" w:ascii="宋体" w:hAnsi="宋体" w:cs="宋体"/>
          <w:color w:val="auto"/>
          <w:szCs w:val="21"/>
          <w:highlight w:val="none"/>
        </w:rPr>
        <w:t>未</w:t>
      </w:r>
      <w:r>
        <w:rPr>
          <w:rFonts w:hint="eastAsia" w:ascii="宋体" w:hAnsi="宋体" w:cs="宋体"/>
          <w:color w:val="auto"/>
          <w:spacing w:val="-6"/>
          <w:szCs w:val="21"/>
          <w:highlight w:val="none"/>
        </w:rPr>
        <w:t>成交供应商的竞标保证金自成交通知书发出之日起5个工作日内退还；</w:t>
      </w:r>
      <w:r>
        <w:rPr>
          <w:rFonts w:hint="eastAsia" w:ascii="宋体" w:hAnsi="宋体" w:cs="宋体"/>
          <w:color w:val="auto"/>
          <w:szCs w:val="21"/>
          <w:highlight w:val="none"/>
        </w:rPr>
        <w:t>成交供应商的磋商保证金自签订合同之日起5个工作日内退还。</w:t>
      </w:r>
      <w:bookmarkEnd w:id="71"/>
      <w:r>
        <w:rPr>
          <w:rFonts w:hint="eastAsia" w:ascii="宋体" w:hAnsi="宋体" w:cs="宋体"/>
          <w:color w:val="auto"/>
          <w:szCs w:val="21"/>
          <w:highlight w:val="none"/>
        </w:rPr>
        <w:t xml:space="preserve"> </w:t>
      </w:r>
    </w:p>
    <w:p w14:paraId="2C7A5401">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17.3磋商保证金不计息。</w:t>
      </w:r>
    </w:p>
    <w:p w14:paraId="6BF56EC5">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 xml:space="preserve">17.4供应商有下列情形之一的，磋商保证金将不予退还： </w:t>
      </w:r>
    </w:p>
    <w:p w14:paraId="41A7758D">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（1）供应商在提交响应文件截止时间后撤回响应文件的；</w:t>
      </w:r>
    </w:p>
    <w:p w14:paraId="505570F9">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（2）供应商在响应文件中提供虚假材料的；</w:t>
      </w:r>
    </w:p>
    <w:p w14:paraId="78DBD69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（3）除因不可抗力或者磋商文件认可的情形以外，成交供应商不与采购人签订合同的；</w:t>
      </w:r>
    </w:p>
    <w:p w14:paraId="24C58D9F">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（4）供应商与采购人、其他供应商或者采购代理机构恶意串通的；</w:t>
      </w:r>
    </w:p>
    <w:p w14:paraId="49D6C9FA">
      <w:pPr>
        <w:spacing w:line="360" w:lineRule="auto"/>
        <w:ind w:left="420" w:leftChars="200"/>
        <w:rPr>
          <w:rFonts w:ascii="宋体" w:hAnsi="宋体" w:cs="宋体"/>
          <w:color w:val="auto"/>
          <w:szCs w:val="21"/>
          <w:highlight w:val="none"/>
        </w:rPr>
      </w:pPr>
      <w:r>
        <w:rPr>
          <w:rFonts w:hint="eastAsia" w:ascii="宋体" w:hAnsi="宋体" w:cs="宋体"/>
          <w:color w:val="auto"/>
          <w:szCs w:val="21"/>
          <w:highlight w:val="none"/>
        </w:rPr>
        <w:t>（5）磋商文件规定的其他情形。</w:t>
      </w:r>
    </w:p>
    <w:p w14:paraId="500F6505">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18.响应文件编制的要求</w:t>
      </w:r>
    </w:p>
    <w:p w14:paraId="79A34B8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18.1供应商应按本磋商文件规定的格式和顺序编制、装订响应文件并标注页码，响应文件内容</w:t>
      </w:r>
      <w:r>
        <w:rPr>
          <w:rFonts w:hint="eastAsia" w:ascii="宋体" w:hAnsi="宋体" w:cs="宋体"/>
          <w:color w:val="auto"/>
          <w:spacing w:val="-6"/>
          <w:szCs w:val="21"/>
          <w:highlight w:val="none"/>
        </w:rPr>
        <w:t>不完整、编排混乱导致响应文件被误读、漏读或者查找不到相关内容的，</w:t>
      </w:r>
      <w:r>
        <w:rPr>
          <w:rFonts w:hint="eastAsia" w:ascii="宋体" w:hAnsi="宋体"/>
          <w:color w:val="auto"/>
          <w:highlight w:val="none"/>
        </w:rPr>
        <w:t>由此引发的</w:t>
      </w:r>
      <w:r>
        <w:rPr>
          <w:rFonts w:hint="eastAsia" w:ascii="宋体" w:hAnsi="宋体" w:cs="宋体"/>
          <w:color w:val="auto"/>
          <w:spacing w:val="-6"/>
          <w:szCs w:val="21"/>
          <w:highlight w:val="none"/>
        </w:rPr>
        <w:t>后果由供应商承担。</w:t>
      </w:r>
    </w:p>
    <w:p w14:paraId="08965F2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18.2响应文件应按资格证明文件、报价商务技术文件分别编制，资格证明文件、报价商务技术文件按顺序装订成册。响应文件正本一份，副本份数详见“供应商须知前附表”，响应文件的封面应注明“正本”、“副本”字样，提供响应文件正、副本数量不足的将按无效响应处理。由于响应文件装订松散而造成的丢失或者其他情况导致的不利后果由供应商自行承担。</w:t>
      </w:r>
    </w:p>
    <w:p w14:paraId="0BCD299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18.3响应文件的正本应打印或者用不褪色的墨水填写，响应文件正本除本“供应商须知”中规定的可提供复印件外均须提供原件，副本可为正本签字、盖章后的复印件，当副本和正本不一致时，以正本为准。</w:t>
      </w:r>
    </w:p>
    <w:p w14:paraId="58C2730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18.4</w:t>
      </w:r>
      <w:bookmarkStart w:id="72" w:name="_Hlk65832699"/>
      <w:r>
        <w:rPr>
          <w:rFonts w:hint="eastAsia" w:ascii="宋体" w:hAnsi="宋体"/>
          <w:color w:val="auto"/>
          <w:szCs w:val="21"/>
          <w:highlight w:val="none"/>
        </w:rPr>
        <w:t>响应文件须由供应商在规定位置盖公章并签字</w:t>
      </w:r>
      <w:bookmarkStart w:id="73" w:name="_Hlk65832569"/>
      <w:r>
        <w:rPr>
          <w:rFonts w:hint="eastAsia" w:ascii="宋体" w:hAnsi="宋体"/>
          <w:color w:val="auto"/>
          <w:szCs w:val="21"/>
          <w:highlight w:val="none"/>
        </w:rPr>
        <w:t>（具体以供应商须知前附表或响应文件格式规定为准）</w:t>
      </w:r>
      <w:bookmarkEnd w:id="72"/>
      <w:bookmarkEnd w:id="73"/>
      <w:r>
        <w:rPr>
          <w:rFonts w:hint="eastAsia" w:ascii="宋体" w:hAnsi="宋体" w:cs="宋体"/>
          <w:color w:val="auto"/>
          <w:szCs w:val="21"/>
          <w:highlight w:val="none"/>
        </w:rPr>
        <w:t>，否则其响应文件按无效响应处理。骑缝盖公章不视为在规定位置盖章。</w:t>
      </w:r>
    </w:p>
    <w:p w14:paraId="36C4C61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18.5响应文件中标注的供应商名称应与营业执照（事业单位法人证书、执业许可证、自然人身份证）及公章一致，否则其响应文件按无效响应处理。</w:t>
      </w:r>
    </w:p>
    <w:p w14:paraId="35EF35D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18.6响应文件应尽量避免涂改、行间插字或者删除。如果出现上述情况，改动之处应由供应商的法定代表人或者其委托代理人签字或者加盖公章。响应文件因涂改、行间插字或者删除导致字迹潦草或者表达不清所引起的后果由供应商承担。</w:t>
      </w:r>
    </w:p>
    <w:p w14:paraId="34F0833F">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19.响应文件的密封和标记</w:t>
      </w:r>
    </w:p>
    <w:p w14:paraId="09E7C61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19.1响应文件正、副本全部装入一个或者多个包封袋/箱（响应文件的补充、修改可另行单独递交）中并加以密封，封口处必须加盖供应商公章或者</w:t>
      </w:r>
      <w:r>
        <w:rPr>
          <w:rFonts w:hint="eastAsia" w:ascii="宋体" w:hAnsi="宋体" w:cs="宋体"/>
          <w:color w:val="auto"/>
          <w:highlight w:val="none"/>
        </w:rPr>
        <w:t>法定代表人签字</w:t>
      </w:r>
      <w:r>
        <w:rPr>
          <w:rFonts w:hint="eastAsia" w:ascii="宋体" w:hAnsi="宋体" w:cs="宋体"/>
          <w:color w:val="auto"/>
          <w:szCs w:val="21"/>
          <w:highlight w:val="none"/>
        </w:rPr>
        <w:t>或者委托代理人签字，以示密封</w:t>
      </w:r>
      <w:r>
        <w:rPr>
          <w:rFonts w:hint="eastAsia" w:ascii="宋体" w:hAnsi="宋体"/>
          <w:b/>
          <w:color w:val="auto"/>
          <w:szCs w:val="21"/>
          <w:highlight w:val="none"/>
        </w:rPr>
        <w:t>（密封要求达到不泄露供应商响应文件实质性内容为合格）</w:t>
      </w:r>
      <w:r>
        <w:rPr>
          <w:rFonts w:hint="eastAsia" w:ascii="宋体" w:hAnsi="宋体" w:cs="宋体"/>
          <w:color w:val="auto"/>
          <w:szCs w:val="21"/>
          <w:highlight w:val="none"/>
        </w:rPr>
        <w:t>。</w:t>
      </w:r>
    </w:p>
    <w:p w14:paraId="1BA6BDF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19.2响应文件外层包装封面上应标记“项目名称、项目编号、供应商名称、所竞分标、首次响应文件提交截止时间前不得启封”字样。</w:t>
      </w:r>
    </w:p>
    <w:p w14:paraId="66D27842">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20.响应文件的提交</w:t>
      </w:r>
    </w:p>
    <w:p w14:paraId="335C596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20.1供应商必须在“供应商须知前附表”规定的时间和地点提交响应文件。</w:t>
      </w:r>
    </w:p>
    <w:p w14:paraId="78DEFE6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20.2采购代理机构工作人员收到响应文件后，应当如实记载响应文件的密封情况。</w:t>
      </w:r>
    </w:p>
    <w:p w14:paraId="1DD215B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20.3在</w:t>
      </w:r>
      <w:r>
        <w:rPr>
          <w:rFonts w:hint="eastAsia" w:ascii="宋体" w:hAnsi="宋体"/>
          <w:color w:val="auto"/>
          <w:szCs w:val="21"/>
          <w:highlight w:val="none"/>
        </w:rPr>
        <w:t>首次响应文件提交截止时间</w:t>
      </w:r>
      <w:r>
        <w:rPr>
          <w:rFonts w:hint="eastAsia" w:ascii="宋体" w:hAnsi="宋体" w:cs="宋体"/>
          <w:color w:val="auto"/>
          <w:szCs w:val="21"/>
          <w:highlight w:val="none"/>
        </w:rPr>
        <w:t>后送达的或者</w:t>
      </w:r>
      <w:bookmarkStart w:id="74" w:name="_Hlk66782274"/>
      <w:r>
        <w:rPr>
          <w:rFonts w:hint="eastAsia" w:ascii="宋体" w:hAnsi="宋体" w:cs="宋体"/>
          <w:color w:val="auto"/>
          <w:szCs w:val="21"/>
          <w:highlight w:val="none"/>
        </w:rPr>
        <w:t>未按照竞争性磋商文件要求密封的响应文件</w:t>
      </w:r>
      <w:bookmarkEnd w:id="74"/>
      <w:r>
        <w:rPr>
          <w:rFonts w:hint="eastAsia" w:ascii="宋体" w:hAnsi="宋体" w:cs="宋体"/>
          <w:color w:val="auto"/>
          <w:szCs w:val="21"/>
          <w:highlight w:val="none"/>
        </w:rPr>
        <w:t>为无效文件，采购人或者采购代理机构应当拒收。</w:t>
      </w:r>
    </w:p>
    <w:p w14:paraId="1F983A7E">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21.首次响应文件的补充、修改与撤回</w:t>
      </w:r>
    </w:p>
    <w:p w14:paraId="2E08B6E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在首次响应文件提交截止时间前，可以对所提交的响应文件进行补充、修改或者撤回，并书面通知采购人、采购代理机构。补充、修改的内容作为响应文件的组成部分。补充、修改的内容与响应文件不一致的，以补充、修改的内容为准。</w:t>
      </w:r>
    </w:p>
    <w:p w14:paraId="1F5DD8E5">
      <w:pPr>
        <w:spacing w:line="360" w:lineRule="auto"/>
        <w:ind w:firstLine="482" w:firstLineChars="200"/>
        <w:rPr>
          <w:rFonts w:ascii="黑体" w:hAnsi="黑体" w:eastAsia="黑体" w:cs="宋体"/>
          <w:b/>
          <w:bCs/>
          <w:color w:val="auto"/>
          <w:sz w:val="24"/>
          <w:highlight w:val="none"/>
        </w:rPr>
      </w:pPr>
      <w:bookmarkStart w:id="75" w:name="_Hlk45702405"/>
      <w:r>
        <w:rPr>
          <w:rFonts w:hint="eastAsia" w:ascii="黑体" w:hAnsi="黑体" w:eastAsia="黑体" w:cs="宋体"/>
          <w:b/>
          <w:bCs/>
          <w:color w:val="auto"/>
          <w:sz w:val="24"/>
          <w:highlight w:val="none"/>
        </w:rPr>
        <w:t>22. 首次响应文件的退回</w:t>
      </w:r>
    </w:p>
    <w:p w14:paraId="6E56914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在首次响应文件提交截止时间止提交响应文件的供应商不足3家时，应当由供应商法定代表人或者委托代理人签字领回响应文件（响应文件</w:t>
      </w:r>
      <w:r>
        <w:rPr>
          <w:rFonts w:hint="eastAsia" w:ascii="宋体" w:hAnsi="宋体"/>
          <w:color w:val="auto"/>
          <w:szCs w:val="21"/>
          <w:highlight w:val="none"/>
        </w:rPr>
        <w:t>采用邮寄方式提交的</w:t>
      </w:r>
      <w:r>
        <w:rPr>
          <w:rFonts w:hint="eastAsia" w:ascii="宋体" w:hAnsi="宋体" w:cs="宋体"/>
          <w:color w:val="auto"/>
          <w:szCs w:val="21"/>
          <w:highlight w:val="none"/>
        </w:rPr>
        <w:t>，以到付的方式寄回至原地址），除此之外采购人和采购代理机构对已提交的响应文件概不退回。</w:t>
      </w:r>
    </w:p>
    <w:p w14:paraId="0A0FFA3B">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23. 截止时间后的撤回</w:t>
      </w:r>
    </w:p>
    <w:p w14:paraId="21FF6E2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供应商在首次响应文件提交截止时间后向采购人、采购代理机构书面申请撤回响应文件的，将根据本须知正文17.4的规定不予退还其磋商保证金。</w:t>
      </w:r>
    </w:p>
    <w:bookmarkEnd w:id="75"/>
    <w:p w14:paraId="5F314A92">
      <w:pPr>
        <w:spacing w:line="360" w:lineRule="auto"/>
        <w:rPr>
          <w:rFonts w:ascii="宋体" w:hAnsi="宋体"/>
          <w:color w:val="auto"/>
          <w:szCs w:val="21"/>
          <w:highlight w:val="none"/>
        </w:rPr>
      </w:pPr>
    </w:p>
    <w:p w14:paraId="0106A7AC">
      <w:pPr>
        <w:spacing w:line="360" w:lineRule="auto"/>
        <w:ind w:left="420" w:firstLine="420"/>
        <w:jc w:val="center"/>
        <w:rPr>
          <w:rFonts w:ascii="宋体" w:hAnsi="宋体"/>
          <w:b/>
          <w:bCs/>
          <w:color w:val="auto"/>
          <w:sz w:val="32"/>
          <w:szCs w:val="32"/>
          <w:highlight w:val="none"/>
        </w:rPr>
      </w:pPr>
      <w:r>
        <w:rPr>
          <w:rFonts w:hint="eastAsia" w:ascii="宋体" w:hAnsi="宋体"/>
          <w:b/>
          <w:bCs/>
          <w:color w:val="auto"/>
          <w:sz w:val="32"/>
          <w:szCs w:val="32"/>
          <w:highlight w:val="none"/>
        </w:rPr>
        <w:t>四、评审及磋商</w:t>
      </w:r>
    </w:p>
    <w:p w14:paraId="775B22C9">
      <w:pPr>
        <w:spacing w:line="360" w:lineRule="auto"/>
        <w:rPr>
          <w:rFonts w:ascii="宋体" w:hAnsi="宋体"/>
          <w:color w:val="auto"/>
          <w:szCs w:val="21"/>
          <w:highlight w:val="none"/>
        </w:rPr>
      </w:pPr>
    </w:p>
    <w:p w14:paraId="7E5266CA">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24.磋商小组成立</w:t>
      </w:r>
    </w:p>
    <w:p w14:paraId="00AF9A8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24.1磋商小组由采购人代表和评审专家共3人以上单数组成，具体人数见“供应商须知前附表”，其中评审专家人数不得少于磋商小组成员总数的2/3。采购人代表不得以评审专家身份参加本部门或者本单位采购项目的评审。采购代理机构人员不得参加本机构代理的采购项目的评审。24.2评审专家应当从评审专家库内相关专业的专家名单中随机抽取。市场竞争不充分的科研项目，以及需要扶持的科技成果转化项目，以及情况特殊、通过随机方式难以确定合适的评审专家的项目，经主管预算单位同意，可以自行选定评审专家。技术复杂、专业性强的采购项目，评审专家中应当包含1名法律专家。</w:t>
      </w:r>
    </w:p>
    <w:p w14:paraId="6BC90CC1">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25.</w:t>
      </w:r>
      <w:r>
        <w:rPr>
          <w:rFonts w:hint="eastAsia" w:ascii="黑体" w:hAnsi="黑体" w:eastAsia="黑体" w:cs="宋体"/>
          <w:b/>
          <w:bCs/>
          <w:color w:val="auto"/>
          <w:sz w:val="24"/>
          <w:highlight w:val="none"/>
        </w:rPr>
        <w:t>首次响应文件的开启</w:t>
      </w:r>
    </w:p>
    <w:p w14:paraId="1AFB39C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首次响应文件由磋商小组或者采购代理机构在“供应商须知前附表”规定的时间开启。</w:t>
      </w:r>
    </w:p>
    <w:p w14:paraId="32E481CD">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26</w:t>
      </w:r>
      <w:r>
        <w:rPr>
          <w:rFonts w:hint="eastAsia" w:ascii="黑体" w:hAnsi="黑体" w:eastAsia="黑体" w:cs="宋体"/>
          <w:b/>
          <w:bCs/>
          <w:color w:val="auto"/>
          <w:sz w:val="24"/>
          <w:highlight w:val="none"/>
        </w:rPr>
        <w:t>.评审程序、评审方法和评审标准</w:t>
      </w:r>
    </w:p>
    <w:p w14:paraId="03546EA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6</w:t>
      </w:r>
      <w:r>
        <w:rPr>
          <w:rFonts w:hint="eastAsia" w:ascii="宋体" w:hAnsi="宋体" w:cs="宋体"/>
          <w:color w:val="auto"/>
          <w:szCs w:val="21"/>
          <w:highlight w:val="none"/>
        </w:rPr>
        <w:t>.1本项目的评审方法为综合评分法。</w:t>
      </w:r>
    </w:p>
    <w:p w14:paraId="592542E6">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26.2</w:t>
      </w:r>
      <w:r>
        <w:rPr>
          <w:rFonts w:hint="eastAsia" w:ascii="宋体" w:hAnsi="宋体" w:cs="宋体"/>
          <w:color w:val="auto"/>
          <w:szCs w:val="21"/>
          <w:highlight w:val="none"/>
        </w:rPr>
        <w:t>磋商小组</w:t>
      </w:r>
      <w:r>
        <w:rPr>
          <w:rFonts w:ascii="宋体" w:hAnsi="宋体" w:cs="宋体"/>
          <w:color w:val="auto"/>
          <w:szCs w:val="21"/>
          <w:highlight w:val="none"/>
        </w:rPr>
        <w:t>按照</w:t>
      </w:r>
      <w:r>
        <w:rPr>
          <w:rFonts w:hint="eastAsia" w:ascii="宋体" w:hAnsi="宋体" w:cs="宋体"/>
          <w:color w:val="auto"/>
          <w:szCs w:val="21"/>
          <w:highlight w:val="none"/>
        </w:rPr>
        <w:t>“第四章 评审程序、评审方法和评审标准”</w:t>
      </w:r>
      <w:r>
        <w:rPr>
          <w:rFonts w:ascii="宋体" w:hAnsi="宋体" w:cs="宋体"/>
          <w:color w:val="auto"/>
          <w:szCs w:val="21"/>
          <w:highlight w:val="none"/>
        </w:rPr>
        <w:t>规定的方法、评审因素、标准和程序对</w:t>
      </w:r>
      <w:r>
        <w:rPr>
          <w:rFonts w:hint="eastAsia" w:ascii="宋体" w:hAnsi="宋体" w:cs="宋体"/>
          <w:color w:val="auto"/>
          <w:szCs w:val="21"/>
          <w:highlight w:val="none"/>
        </w:rPr>
        <w:t>响应</w:t>
      </w:r>
      <w:r>
        <w:rPr>
          <w:rFonts w:ascii="宋体" w:hAnsi="宋体" w:cs="宋体"/>
          <w:color w:val="auto"/>
          <w:szCs w:val="21"/>
          <w:highlight w:val="none"/>
        </w:rPr>
        <w:t>文件进行评审。</w:t>
      </w:r>
    </w:p>
    <w:p w14:paraId="058449AD">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27</w:t>
      </w:r>
      <w:r>
        <w:rPr>
          <w:rFonts w:hint="eastAsia" w:ascii="黑体" w:hAnsi="黑体" w:eastAsia="黑体" w:cs="宋体"/>
          <w:b/>
          <w:bCs/>
          <w:color w:val="auto"/>
          <w:sz w:val="24"/>
          <w:highlight w:val="none"/>
        </w:rPr>
        <w:t>.确定成交供应商及结果公告</w:t>
      </w:r>
    </w:p>
    <w:p w14:paraId="3F0B2D57">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27</w:t>
      </w:r>
      <w:r>
        <w:rPr>
          <w:rFonts w:hint="eastAsia" w:ascii="宋体" w:hAnsi="宋体" w:cs="宋体"/>
          <w:color w:val="auto"/>
          <w:szCs w:val="21"/>
          <w:highlight w:val="none"/>
        </w:rPr>
        <w:t>.1</w:t>
      </w:r>
      <w:r>
        <w:rPr>
          <w:rFonts w:hint="eastAsia" w:ascii="宋体" w:hAnsi="宋体" w:cs="宋体"/>
          <w:color w:val="auto"/>
          <w:kern w:val="0"/>
          <w:szCs w:val="21"/>
          <w:highlight w:val="none"/>
        </w:rPr>
        <w:t xml:space="preserve"> </w:t>
      </w:r>
      <w:r>
        <w:rPr>
          <w:rFonts w:hint="eastAsia" w:ascii="宋体" w:hAnsi="宋体" w:cs="宋体"/>
          <w:color w:val="auto"/>
          <w:szCs w:val="21"/>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29CE6F74">
      <w:pPr>
        <w:spacing w:line="360" w:lineRule="auto"/>
        <w:ind w:firstLine="420" w:firstLineChars="200"/>
        <w:rPr>
          <w:rFonts w:hint="eastAsia" w:ascii="宋体" w:hAnsi="宋体" w:cs="宋体"/>
          <w:color w:val="auto"/>
          <w:szCs w:val="21"/>
          <w:highlight w:val="none"/>
        </w:rPr>
      </w:pPr>
      <w:r>
        <w:rPr>
          <w:rFonts w:ascii="宋体" w:hAnsi="宋体" w:cs="宋体"/>
          <w:color w:val="auto"/>
          <w:szCs w:val="21"/>
          <w:highlight w:val="none"/>
        </w:rPr>
        <w:t>27</w:t>
      </w:r>
      <w:r>
        <w:rPr>
          <w:rFonts w:hint="eastAsia" w:ascii="宋体" w:hAnsi="宋体" w:cs="宋体"/>
          <w:color w:val="auto"/>
          <w:szCs w:val="21"/>
          <w:highlight w:val="none"/>
        </w:rPr>
        <w:t>.2采购代理机构应当在</w:t>
      </w:r>
      <w:r>
        <w:rPr>
          <w:rFonts w:hint="eastAsia" w:ascii="宋体" w:hAnsi="宋体" w:cs="宋体"/>
          <w:color w:val="auto"/>
          <w:kern w:val="0"/>
          <w:szCs w:val="21"/>
          <w:highlight w:val="none"/>
        </w:rPr>
        <w:t>成交</w:t>
      </w:r>
      <w:r>
        <w:rPr>
          <w:rFonts w:hint="eastAsia" w:ascii="宋体" w:hAnsi="宋体" w:cs="宋体"/>
          <w:color w:val="auto"/>
          <w:szCs w:val="21"/>
          <w:highlight w:val="none"/>
        </w:rPr>
        <w:t>供应商确定后2个工作日内，在</w:t>
      </w:r>
      <w:r>
        <w:rPr>
          <w:rFonts w:hint="eastAsia" w:ascii="宋体" w:hAnsi="宋体" w:cs="宋体"/>
          <w:color w:val="auto"/>
          <w:szCs w:val="21"/>
          <w:highlight w:val="none"/>
          <w:lang w:val="en-US" w:eastAsia="zh-CN"/>
        </w:rPr>
        <w:t>招标公告发布同一</w:t>
      </w:r>
      <w:r>
        <w:rPr>
          <w:rFonts w:hint="eastAsia" w:ascii="宋体" w:hAnsi="宋体" w:cs="宋体"/>
          <w:color w:val="auto"/>
          <w:szCs w:val="21"/>
          <w:highlight w:val="none"/>
        </w:rPr>
        <w:t>媒体上公告成交结果，同时向成交供应商发出成交通知书。采购人或者采购代理机构发出成交通知书前，应当对成交供应商信用进行查询，对列入失信被执行人、重大税收违法案件当事人名单、政府采购严重违法失信行为记录名单及其他不符合《中华人民共和国政府采购法》第二十二条规定条件的供应商，取消其成交资格，并确定排名第二的成交候选人为成交供应商。排名第二的成交候选人因上述规定的同样原因被取消成交资格的，采购人可以确定排名第三的成交候选人为成交供应商，以此类推。以上信息查询记录及相关证据与磋商文件一并保存。</w:t>
      </w:r>
    </w:p>
    <w:p w14:paraId="1F7E645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w:t>
      </w:r>
      <w:r>
        <w:rPr>
          <w:rFonts w:ascii="宋体" w:hAnsi="宋体" w:cs="宋体"/>
          <w:color w:val="auto"/>
          <w:szCs w:val="21"/>
          <w:highlight w:val="none"/>
        </w:rPr>
        <w:t>7.3</w:t>
      </w:r>
      <w:r>
        <w:rPr>
          <w:rFonts w:hint="eastAsia" w:ascii="宋体" w:hAnsi="宋体" w:cs="宋体"/>
          <w:color w:val="auto"/>
          <w:szCs w:val="21"/>
          <w:highlight w:val="none"/>
        </w:rPr>
        <w:t xml:space="preserve"> 采购人、采购代理机构认为供应商对采购过程、成交结果提出的质疑成立且影响或者可能影响成交结果的，合格供应商符合法定数量时，可以从合格的成交候选人中另行确定成交供应商的，应当依法另行确定成交供应商；否则应当重新开展采购活动。</w:t>
      </w:r>
    </w:p>
    <w:p w14:paraId="4EDC53EB">
      <w:pPr>
        <w:spacing w:line="360" w:lineRule="auto"/>
        <w:ind w:firstLine="420" w:firstLineChars="200"/>
        <w:rPr>
          <w:rFonts w:ascii="宋体" w:hAnsi="宋体" w:cs="宋体"/>
          <w:color w:val="auto"/>
          <w:szCs w:val="21"/>
          <w:highlight w:val="none"/>
        </w:rPr>
      </w:pPr>
      <w:r>
        <w:rPr>
          <w:rFonts w:ascii="宋体" w:hAnsi="宋体"/>
          <w:bCs/>
          <w:color w:val="auto"/>
          <w:szCs w:val="21"/>
          <w:highlight w:val="none"/>
        </w:rPr>
        <w:t>27.4</w:t>
      </w:r>
      <w:r>
        <w:rPr>
          <w:rFonts w:hint="eastAsia" w:ascii="宋体" w:hAnsi="宋体"/>
          <w:bCs/>
          <w:color w:val="auto"/>
          <w:szCs w:val="21"/>
          <w:highlight w:val="none"/>
        </w:rPr>
        <w:t>排名第一的成交候选人放弃成交、因不可抗力提出不能履行合同，采购人可以确定排名第二的成交候选人为成交供应商。排名第二的成交候选人因前款规定的同样原因不能签订合同的，采购人可以确定排名第三的成交候选人为成交供应商，以此类推。</w:t>
      </w:r>
    </w:p>
    <w:p w14:paraId="758C30F0">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28</w:t>
      </w:r>
      <w:r>
        <w:rPr>
          <w:rFonts w:hint="eastAsia" w:ascii="黑体" w:hAnsi="黑体" w:eastAsia="黑体" w:cs="宋体"/>
          <w:b/>
          <w:bCs/>
          <w:color w:val="auto"/>
          <w:sz w:val="24"/>
          <w:highlight w:val="none"/>
        </w:rPr>
        <w:t>.履约保证金</w:t>
      </w:r>
    </w:p>
    <w:p w14:paraId="1E3E6DD6">
      <w:pPr>
        <w:spacing w:line="360" w:lineRule="auto"/>
        <w:ind w:firstLine="424" w:firstLineChars="202"/>
        <w:rPr>
          <w:rFonts w:ascii="宋体" w:hAnsi="宋体" w:cs="宋体"/>
          <w:color w:val="auto"/>
          <w:szCs w:val="21"/>
          <w:highlight w:val="none"/>
        </w:rPr>
      </w:pPr>
      <w:r>
        <w:rPr>
          <w:rFonts w:ascii="宋体" w:hAnsi="宋体" w:cs="宋体"/>
          <w:color w:val="auto"/>
          <w:szCs w:val="21"/>
          <w:highlight w:val="none"/>
        </w:rPr>
        <w:t>28</w:t>
      </w:r>
      <w:r>
        <w:rPr>
          <w:rFonts w:hint="eastAsia" w:ascii="宋体" w:hAnsi="宋体" w:cs="宋体"/>
          <w:color w:val="auto"/>
          <w:szCs w:val="21"/>
          <w:highlight w:val="none"/>
        </w:rPr>
        <w:t>.1</w:t>
      </w:r>
      <w:r>
        <w:rPr>
          <w:rFonts w:ascii="宋体" w:hAnsi="宋体" w:cs="宋体"/>
          <w:color w:val="auto"/>
          <w:szCs w:val="21"/>
          <w:highlight w:val="none"/>
        </w:rPr>
        <w:t xml:space="preserve"> </w:t>
      </w:r>
      <w:r>
        <w:rPr>
          <w:rFonts w:hint="eastAsia" w:ascii="宋体" w:hAnsi="宋体" w:cs="宋体"/>
          <w:color w:val="auto"/>
          <w:szCs w:val="21"/>
          <w:highlight w:val="none"/>
        </w:rPr>
        <w:t>履约保证金的金额、提交方式、退付的时间和条件详见 “供应商须知前附表”。成交供应商未按规定提交履约保证金的，视为拒绝</w:t>
      </w:r>
      <w:r>
        <w:rPr>
          <w:rFonts w:ascii="宋体" w:hAnsi="宋体"/>
          <w:color w:val="auto"/>
          <w:highlight w:val="none"/>
        </w:rPr>
        <w:t>与采购人</w:t>
      </w:r>
      <w:r>
        <w:rPr>
          <w:rFonts w:hint="eastAsia" w:ascii="宋体" w:hAnsi="宋体" w:cs="宋体"/>
          <w:color w:val="auto"/>
          <w:szCs w:val="21"/>
          <w:highlight w:val="none"/>
        </w:rPr>
        <w:t>签订合同，采购人可以按照评审报告推荐的成交候选人名单排序，确定下一候选人为成交供应商，也可以重新开展采购活动。</w:t>
      </w:r>
    </w:p>
    <w:p w14:paraId="5C086DF4">
      <w:pPr>
        <w:spacing w:line="360" w:lineRule="auto"/>
        <w:ind w:firstLine="424" w:firstLineChars="202"/>
        <w:rPr>
          <w:rFonts w:ascii="宋体" w:hAnsi="宋体" w:cs="宋体"/>
          <w:color w:val="auto"/>
          <w:szCs w:val="21"/>
          <w:highlight w:val="none"/>
        </w:rPr>
      </w:pPr>
      <w:r>
        <w:rPr>
          <w:rFonts w:ascii="宋体" w:hAnsi="宋体" w:cs="宋体"/>
          <w:color w:val="auto"/>
          <w:szCs w:val="21"/>
          <w:highlight w:val="none"/>
        </w:rPr>
        <w:t>28</w:t>
      </w:r>
      <w:r>
        <w:rPr>
          <w:rFonts w:hint="eastAsia" w:ascii="宋体" w:hAnsi="宋体" w:cs="宋体"/>
          <w:color w:val="auto"/>
          <w:szCs w:val="21"/>
          <w:highlight w:val="none"/>
        </w:rPr>
        <w:t>.2签订合同后，如成交供应商不按双方签订的合同规定履约，则没收其全部履约保证金，履约保证金不足以赔偿损失的，按实际损失赔偿。</w:t>
      </w:r>
    </w:p>
    <w:p w14:paraId="4A6F00DB">
      <w:pPr>
        <w:spacing w:line="360" w:lineRule="auto"/>
        <w:ind w:firstLine="424" w:firstLineChars="202"/>
        <w:rPr>
          <w:rFonts w:ascii="宋体" w:hAnsi="宋体" w:cs="宋体"/>
          <w:color w:val="auto"/>
          <w:szCs w:val="21"/>
          <w:highlight w:val="none"/>
        </w:rPr>
      </w:pPr>
      <w:r>
        <w:rPr>
          <w:rFonts w:ascii="宋体" w:hAnsi="宋体" w:cs="宋体"/>
          <w:color w:val="auto"/>
          <w:szCs w:val="21"/>
          <w:highlight w:val="none"/>
        </w:rPr>
        <w:t>28</w:t>
      </w: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在履约保证金退还日期前，若成交供应商的开户名称、开户银行、帐号有变动的，请以书面形式通知履约保证金收取单位，否则由此产生的后果由成交供应商自行承担。</w:t>
      </w:r>
    </w:p>
    <w:p w14:paraId="1F80BBE2">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29</w:t>
      </w:r>
      <w:r>
        <w:rPr>
          <w:rFonts w:hint="eastAsia" w:ascii="黑体" w:hAnsi="黑体" w:eastAsia="黑体" w:cs="宋体"/>
          <w:b/>
          <w:bCs/>
          <w:color w:val="auto"/>
          <w:sz w:val="24"/>
          <w:highlight w:val="none"/>
        </w:rPr>
        <w:t>.签订合同</w:t>
      </w:r>
    </w:p>
    <w:p w14:paraId="28B49D47">
      <w:pPr>
        <w:spacing w:line="360" w:lineRule="auto"/>
        <w:ind w:firstLine="424" w:firstLineChars="202"/>
        <w:rPr>
          <w:rFonts w:ascii="宋体" w:hAnsi="宋体" w:cs="宋体"/>
          <w:color w:val="auto"/>
          <w:szCs w:val="21"/>
          <w:highlight w:val="none"/>
        </w:rPr>
      </w:pPr>
      <w:r>
        <w:rPr>
          <w:rFonts w:ascii="宋体" w:hAnsi="宋体" w:cs="宋体"/>
          <w:color w:val="auto"/>
          <w:szCs w:val="21"/>
          <w:highlight w:val="none"/>
        </w:rPr>
        <w:t>29.1</w:t>
      </w:r>
      <w:r>
        <w:rPr>
          <w:rFonts w:hint="eastAsia" w:ascii="宋体" w:hAnsi="宋体" w:cs="宋体"/>
          <w:color w:val="auto"/>
          <w:szCs w:val="21"/>
          <w:highlight w:val="none"/>
        </w:rPr>
        <w:t>成交供应商在收到成交通知书后，应当在签订合同时向采购人出示相关证明材料，具体内容详见 “供应商须知前附表”，经采购人核验合格后方可签订合同。</w:t>
      </w:r>
    </w:p>
    <w:p w14:paraId="34026DE8">
      <w:pPr>
        <w:spacing w:line="360" w:lineRule="auto"/>
        <w:ind w:firstLine="424" w:firstLineChars="202"/>
        <w:rPr>
          <w:rFonts w:ascii="宋体" w:hAnsi="宋体" w:cs="宋体"/>
          <w:color w:val="auto"/>
          <w:szCs w:val="21"/>
          <w:highlight w:val="none"/>
        </w:rPr>
      </w:pPr>
      <w:r>
        <w:rPr>
          <w:rFonts w:ascii="宋体" w:hAnsi="宋体" w:cs="宋体"/>
          <w:color w:val="auto"/>
          <w:szCs w:val="21"/>
          <w:highlight w:val="none"/>
        </w:rPr>
        <w:t>29</w:t>
      </w:r>
      <w:r>
        <w:rPr>
          <w:rFonts w:hint="eastAsia" w:ascii="宋体" w:hAnsi="宋体" w:cs="宋体"/>
          <w:color w:val="auto"/>
          <w:szCs w:val="21"/>
          <w:highlight w:val="none"/>
        </w:rPr>
        <w:t>.2 签订合同时间：按成交通知书规定的时间与采购人签订采购合同。</w:t>
      </w:r>
    </w:p>
    <w:p w14:paraId="5C3F3133">
      <w:pPr>
        <w:spacing w:line="360" w:lineRule="auto"/>
        <w:ind w:firstLine="424" w:firstLineChars="202"/>
        <w:rPr>
          <w:rFonts w:ascii="宋体" w:hAnsi="宋体" w:cs="宋体"/>
          <w:color w:val="auto"/>
          <w:szCs w:val="21"/>
          <w:highlight w:val="none"/>
        </w:rPr>
      </w:pPr>
      <w:r>
        <w:rPr>
          <w:rFonts w:ascii="宋体" w:hAnsi="宋体" w:cs="宋体"/>
          <w:color w:val="auto"/>
          <w:szCs w:val="21"/>
          <w:highlight w:val="none"/>
        </w:rPr>
        <w:t>29</w:t>
      </w:r>
      <w:r>
        <w:rPr>
          <w:rFonts w:hint="eastAsia" w:ascii="宋体" w:hAnsi="宋体" w:cs="宋体"/>
          <w:color w:val="auto"/>
          <w:szCs w:val="21"/>
          <w:highlight w:val="none"/>
        </w:rPr>
        <w:t>.3成交供应商拒绝与采购人签订合同的，采购人可以按照评审报告推荐的成交候选人名单排序，确定下一候选人为成交供应商，也可以重新开展采购活动。拒绝签订</w:t>
      </w:r>
      <w:r>
        <w:rPr>
          <w:rFonts w:hint="eastAsia" w:ascii="宋体" w:hAnsi="宋体" w:cs="宋体"/>
          <w:color w:val="auto"/>
          <w:szCs w:val="21"/>
          <w:highlight w:val="none"/>
          <w:lang w:eastAsia="zh-CN"/>
        </w:rPr>
        <w:t>采购合同</w:t>
      </w:r>
      <w:r>
        <w:rPr>
          <w:rFonts w:hint="eastAsia" w:ascii="宋体" w:hAnsi="宋体" w:cs="宋体"/>
          <w:color w:val="auto"/>
          <w:szCs w:val="21"/>
          <w:highlight w:val="none"/>
        </w:rPr>
        <w:t>的成交供应商不得参加对该合同项重新开展的采购活动。</w:t>
      </w:r>
    </w:p>
    <w:p w14:paraId="7F4F5C26">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30</w:t>
      </w:r>
      <w:r>
        <w:rPr>
          <w:rFonts w:hint="eastAsia" w:ascii="黑体" w:hAnsi="黑体" w:eastAsia="黑体" w:cs="宋体"/>
          <w:b/>
          <w:bCs/>
          <w:color w:val="auto"/>
          <w:sz w:val="24"/>
          <w:highlight w:val="none"/>
        </w:rPr>
        <w:t>.</w:t>
      </w:r>
      <w:r>
        <w:rPr>
          <w:rFonts w:hint="eastAsia" w:ascii="黑体" w:hAnsi="黑体" w:eastAsia="黑体" w:cs="宋体"/>
          <w:b/>
          <w:bCs/>
          <w:color w:val="auto"/>
          <w:sz w:val="24"/>
          <w:highlight w:val="none"/>
          <w:lang w:eastAsia="zh-CN"/>
        </w:rPr>
        <w:t>采购合同</w:t>
      </w:r>
      <w:r>
        <w:rPr>
          <w:rFonts w:hint="eastAsia" w:ascii="黑体" w:hAnsi="黑体" w:eastAsia="黑体" w:cs="宋体"/>
          <w:b/>
          <w:bCs/>
          <w:color w:val="auto"/>
          <w:sz w:val="24"/>
          <w:highlight w:val="none"/>
        </w:rPr>
        <w:t>公告</w:t>
      </w:r>
    </w:p>
    <w:p w14:paraId="228F09D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eastAsia="zh-CN"/>
        </w:rPr>
        <w:t>无</w:t>
      </w:r>
      <w:r>
        <w:rPr>
          <w:rFonts w:hint="eastAsia" w:ascii="宋体" w:hAnsi="宋体" w:cs="宋体"/>
          <w:color w:val="auto"/>
          <w:szCs w:val="21"/>
          <w:highlight w:val="none"/>
        </w:rPr>
        <w:t>。</w:t>
      </w:r>
    </w:p>
    <w:p w14:paraId="6479C756">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31</w:t>
      </w:r>
      <w:r>
        <w:rPr>
          <w:rFonts w:hint="eastAsia" w:ascii="黑体" w:hAnsi="黑体" w:eastAsia="黑体" w:cs="宋体"/>
          <w:b/>
          <w:bCs/>
          <w:color w:val="auto"/>
          <w:sz w:val="24"/>
          <w:highlight w:val="none"/>
        </w:rPr>
        <w:t>. 询问、质疑和投诉</w:t>
      </w:r>
    </w:p>
    <w:p w14:paraId="2EE11199">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w:t>
      </w:r>
      <w:r>
        <w:rPr>
          <w:rFonts w:ascii="宋体" w:hAnsi="宋体" w:cs="宋体"/>
          <w:color w:val="auto"/>
          <w:highlight w:val="none"/>
        </w:rPr>
        <w:t>1</w:t>
      </w:r>
      <w:r>
        <w:rPr>
          <w:rFonts w:hint="eastAsia" w:ascii="宋体" w:hAnsi="宋体" w:cs="宋体"/>
          <w:color w:val="auto"/>
          <w:highlight w:val="none"/>
        </w:rPr>
        <w:t>.1供应商对采购活动事项有疑问的，可以向采购人、采购代理机构提出询问，采购人或者采购代理机构应当在3个工作日内对供应商依法提出的询问作出答复。</w:t>
      </w:r>
    </w:p>
    <w:p w14:paraId="0B6CEEE1">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w:t>
      </w:r>
      <w:r>
        <w:rPr>
          <w:rFonts w:ascii="宋体" w:hAnsi="宋体" w:cs="宋体"/>
          <w:color w:val="auto"/>
          <w:highlight w:val="none"/>
        </w:rPr>
        <w:t>1</w:t>
      </w:r>
      <w:r>
        <w:rPr>
          <w:rFonts w:hint="eastAsia" w:ascii="宋体" w:hAnsi="宋体" w:cs="宋体"/>
          <w:color w:val="auto"/>
          <w:highlight w:val="none"/>
        </w:rPr>
        <w:t>.2供应商认为磋商文件、采购过程或者成交结果使自己的合法权益受到损害的，应当在知道或者应知其权益受到损害之日起7个工作日内，以书面形式向采购人、采购代理机构提出质疑，</w:t>
      </w:r>
      <w:r>
        <w:rPr>
          <w:rFonts w:ascii="宋体" w:hAnsi="宋体" w:cs="Arial"/>
          <w:color w:val="auto"/>
          <w:highlight w:val="none"/>
          <w:shd w:val="clear" w:color="auto" w:fill="FFFFFF"/>
        </w:rPr>
        <w:t>接收质疑函的方式、联系部门、联系电话和通讯地址等信息</w:t>
      </w:r>
      <w:r>
        <w:rPr>
          <w:rFonts w:hint="eastAsia" w:ascii="宋体" w:hAnsi="宋体" w:cs="Arial"/>
          <w:color w:val="auto"/>
          <w:highlight w:val="none"/>
          <w:shd w:val="clear" w:color="auto" w:fill="FFFFFF"/>
        </w:rPr>
        <w:t>详见</w:t>
      </w:r>
      <w:r>
        <w:rPr>
          <w:rFonts w:hint="eastAsia" w:ascii="宋体" w:hAnsi="宋体" w:cs="宋体"/>
          <w:color w:val="auto"/>
          <w:szCs w:val="21"/>
          <w:highlight w:val="none"/>
        </w:rPr>
        <w:t>“供应商须知前附表”</w:t>
      </w:r>
      <w:r>
        <w:rPr>
          <w:rFonts w:hint="eastAsia" w:ascii="宋体" w:hAnsi="宋体" w:cs="宋体"/>
          <w:color w:val="auto"/>
          <w:highlight w:val="none"/>
        </w:rPr>
        <w:t>。具体质疑起算时间如下：</w:t>
      </w:r>
    </w:p>
    <w:p w14:paraId="6D14EE79">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（1）对可以质疑的磋商文件提出质疑的，为收到磋商文件之日或者</w:t>
      </w:r>
      <w:r>
        <w:rPr>
          <w:rFonts w:hint="eastAsia" w:ascii="宋体" w:hAnsi="宋体"/>
          <w:color w:val="auto"/>
          <w:highlight w:val="none"/>
        </w:rPr>
        <w:t>竞争性磋商公告期限届满之日</w:t>
      </w:r>
      <w:r>
        <w:rPr>
          <w:rFonts w:hint="eastAsia" w:ascii="宋体" w:hAnsi="宋体" w:cs="宋体"/>
          <w:color w:val="auto"/>
          <w:highlight w:val="none"/>
        </w:rPr>
        <w:t>；</w:t>
      </w:r>
    </w:p>
    <w:p w14:paraId="570D95C3">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（2）对采购过程提出质疑的，为各采购程序环节结束之日；</w:t>
      </w:r>
    </w:p>
    <w:p w14:paraId="3F3732C8">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（3）对成交结果提出质疑的，为成交结果公告期限届满之日。</w:t>
      </w:r>
    </w:p>
    <w:p w14:paraId="43A3ED6F">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w:t>
      </w:r>
      <w:r>
        <w:rPr>
          <w:rFonts w:ascii="宋体" w:hAnsi="宋体" w:cs="宋体"/>
          <w:color w:val="auto"/>
          <w:highlight w:val="none"/>
        </w:rPr>
        <w:t>1</w:t>
      </w:r>
      <w:r>
        <w:rPr>
          <w:rFonts w:hint="eastAsia" w:ascii="宋体" w:hAnsi="宋体" w:cs="宋体"/>
          <w:color w:val="auto"/>
          <w:highlight w:val="none"/>
        </w:rPr>
        <w:t>.3供应商提出的询问或者质疑超出采购人对采购代理机构委托授权范围的，采购代理机构应当告知供应商向采购人提出。</w:t>
      </w:r>
      <w:r>
        <w:rPr>
          <w:rFonts w:hint="eastAsia" w:ascii="宋体" w:hAnsi="宋体" w:cs="宋体"/>
          <w:color w:val="auto"/>
          <w:highlight w:val="none"/>
          <w:lang w:eastAsia="zh-CN"/>
        </w:rPr>
        <w:t>评审专家</w:t>
      </w:r>
      <w:r>
        <w:rPr>
          <w:rFonts w:hint="eastAsia" w:ascii="宋体" w:hAnsi="宋体" w:cs="宋体"/>
          <w:color w:val="auto"/>
          <w:highlight w:val="none"/>
        </w:rPr>
        <w:t>应当配合采购人或者采购代理机构答复供应商的询问和质疑。</w:t>
      </w:r>
    </w:p>
    <w:p w14:paraId="02D89FCF">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w:t>
      </w:r>
      <w:r>
        <w:rPr>
          <w:rFonts w:ascii="宋体" w:hAnsi="宋体" w:cs="宋体"/>
          <w:color w:val="auto"/>
          <w:highlight w:val="none"/>
        </w:rPr>
        <w:t>1</w:t>
      </w:r>
      <w:r>
        <w:rPr>
          <w:rFonts w:hint="eastAsia" w:ascii="宋体" w:hAnsi="宋体" w:cs="宋体"/>
          <w:color w:val="auto"/>
          <w:highlight w:val="none"/>
        </w:rPr>
        <w:t>.4 供应商提出质疑应当提交质疑函和必要的证明材料，针对同一采购程序环节的质疑必须在法定质疑期内一次性提出。质疑函应当包括下列内容</w:t>
      </w:r>
      <w:r>
        <w:rPr>
          <w:rFonts w:hint="eastAsia" w:hAnsi="宋体"/>
          <w:bCs/>
          <w:color w:val="auto"/>
          <w:highlight w:val="none"/>
        </w:rPr>
        <w:t>（质疑函格式后附）</w:t>
      </w:r>
      <w:r>
        <w:rPr>
          <w:rFonts w:hint="eastAsia" w:ascii="宋体" w:hAnsi="宋体" w:cs="宋体"/>
          <w:color w:val="auto"/>
          <w:highlight w:val="none"/>
        </w:rPr>
        <w:t>：</w:t>
      </w:r>
    </w:p>
    <w:p w14:paraId="4B776B91">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（1）供应商的姓名或者名称、地址、邮编、联系人及联系电话；</w:t>
      </w:r>
    </w:p>
    <w:p w14:paraId="3F666954">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（2）质疑项目的名称、编号；</w:t>
      </w:r>
    </w:p>
    <w:p w14:paraId="56E38937">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（3）具体、明确的质疑事项和与质疑事项相关的请求；</w:t>
      </w:r>
    </w:p>
    <w:p w14:paraId="7213EAAE">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（4）事实依据；</w:t>
      </w:r>
    </w:p>
    <w:p w14:paraId="011EFE0A">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（5）必要的法律依据；</w:t>
      </w:r>
    </w:p>
    <w:p w14:paraId="1D047D9B">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（6）提出质疑的日期。</w:t>
      </w:r>
    </w:p>
    <w:p w14:paraId="50537116">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供应商为自然人的，应当由本人签字；供应商为法人或者其他组织的，应当由法定代表人、主要负责人，或者其委托代理人签字或者盖章，并加盖公章。</w:t>
      </w:r>
    </w:p>
    <w:p w14:paraId="2C262CCD">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3</w:t>
      </w:r>
      <w:r>
        <w:rPr>
          <w:rFonts w:ascii="宋体" w:hAnsi="宋体" w:cs="宋体"/>
          <w:color w:val="auto"/>
          <w:highlight w:val="none"/>
        </w:rPr>
        <w:t>1.5</w:t>
      </w:r>
      <w:r>
        <w:rPr>
          <w:rFonts w:hint="eastAsia" w:ascii="宋体" w:hAnsi="宋体" w:cs="宋体"/>
          <w:color w:val="auto"/>
          <w:highlight w:val="none"/>
        </w:rPr>
        <w:t>采购人、采购代理机构认为供应商质疑不成立，或者成立但未对成交结果构成影响的，继续开展采购活动；认为供应商质疑成立且影响或者可能影响成交结果的，按照下列情况处理：</w:t>
      </w:r>
    </w:p>
    <w:p w14:paraId="4F918180">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（一）对采购文件提出的质疑，依法通过澄清或者修改可以继续开展采购活动的，澄清或者修改采购文件后继续开展采购活动；否则应当修改采购文件后重新开展采购活动。</w:t>
      </w:r>
    </w:p>
    <w:p w14:paraId="1C21DADA">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（二）对采购过程或者成交结果提出的质疑，合格供应商符合法定数量时，可以从合格的成交候选人中另行确定成交供应商的，应当依法另行确定成交供应商；否则应当重新开展采购活动。</w:t>
      </w:r>
    </w:p>
    <w:p w14:paraId="59D59E62">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质疑答复导致成交结果改变的，采购人或者采购代理机构应当将有关情况书面</w:t>
      </w:r>
      <w:r>
        <w:rPr>
          <w:rFonts w:hint="eastAsia" w:ascii="宋体" w:hAnsi="宋体" w:cs="宋体"/>
          <w:color w:val="auto"/>
          <w:highlight w:val="none"/>
          <w:lang w:eastAsia="zh-CN"/>
        </w:rPr>
        <w:t>报告监督部门</w:t>
      </w:r>
      <w:r>
        <w:rPr>
          <w:rFonts w:hint="eastAsia" w:ascii="宋体" w:hAnsi="宋体" w:cs="宋体"/>
          <w:color w:val="auto"/>
          <w:highlight w:val="none"/>
        </w:rPr>
        <w:t>。</w:t>
      </w:r>
    </w:p>
    <w:p w14:paraId="7329F07D">
      <w:pPr>
        <w:spacing w:line="360" w:lineRule="auto"/>
        <w:ind w:firstLine="420" w:firstLineChars="200"/>
        <w:rPr>
          <w:rFonts w:ascii="宋体" w:hAnsi="宋体" w:cs="宋体"/>
          <w:color w:val="auto"/>
          <w:szCs w:val="21"/>
          <w:highlight w:val="none"/>
        </w:rPr>
      </w:pPr>
      <w:r>
        <w:rPr>
          <w:rFonts w:ascii="宋体" w:hAnsi="宋体" w:cs="宋体"/>
          <w:color w:val="auto"/>
          <w:highlight w:val="none"/>
        </w:rPr>
        <w:t>31</w:t>
      </w:r>
      <w:r>
        <w:rPr>
          <w:rFonts w:hint="eastAsia" w:ascii="宋体" w:hAnsi="宋体" w:cs="宋体"/>
          <w:color w:val="auto"/>
          <w:highlight w:val="none"/>
        </w:rPr>
        <w:t>.</w:t>
      </w:r>
      <w:r>
        <w:rPr>
          <w:rFonts w:ascii="宋体" w:hAnsi="宋体" w:cs="宋体"/>
          <w:color w:val="auto"/>
          <w:highlight w:val="none"/>
        </w:rPr>
        <w:t>6</w:t>
      </w:r>
      <w:r>
        <w:rPr>
          <w:rFonts w:hint="eastAsia" w:ascii="宋体" w:hAnsi="宋体" w:cs="宋体"/>
          <w:color w:val="auto"/>
          <w:highlight w:val="none"/>
        </w:rPr>
        <w:t>投诉的权利。质疑供应商对采购人、采购代理机构的答复不满意，或者采购人、采购代理机构未在规定时间内作出答复的，可以在答复期满后</w:t>
      </w:r>
      <w:r>
        <w:rPr>
          <w:rFonts w:hint="eastAsia" w:ascii="宋体" w:hAnsi="宋体" w:cs="宋体"/>
          <w:color w:val="auto"/>
          <w:highlight w:val="none"/>
          <w:lang w:eastAsia="zh-CN"/>
        </w:rPr>
        <w:t>15个工作日内参考</w:t>
      </w:r>
      <w:r>
        <w:rPr>
          <w:rFonts w:hint="eastAsia" w:ascii="宋体" w:hAnsi="宋体" w:cs="宋体"/>
          <w:color w:val="auto"/>
          <w:highlight w:val="none"/>
        </w:rPr>
        <w:t>《政府采购质疑和投诉办法》（财政部令第94号）规定提起投诉（投诉书格式后附）。</w:t>
      </w:r>
    </w:p>
    <w:p w14:paraId="2AFBD1EA">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32</w:t>
      </w:r>
      <w:r>
        <w:rPr>
          <w:rFonts w:hint="eastAsia" w:ascii="黑体" w:hAnsi="黑体" w:eastAsia="黑体" w:cs="宋体"/>
          <w:b/>
          <w:bCs/>
          <w:color w:val="auto"/>
          <w:sz w:val="24"/>
          <w:highlight w:val="none"/>
        </w:rPr>
        <w:t>.其他内容</w:t>
      </w:r>
    </w:p>
    <w:p w14:paraId="19B0C412">
      <w:pPr>
        <w:tabs>
          <w:tab w:val="left" w:pos="2835"/>
        </w:tabs>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32</w:t>
      </w:r>
      <w:r>
        <w:rPr>
          <w:rFonts w:hint="eastAsia" w:ascii="宋体" w:hAnsi="宋体" w:cs="宋体"/>
          <w:color w:val="auto"/>
          <w:szCs w:val="21"/>
          <w:highlight w:val="none"/>
        </w:rPr>
        <w:t>.1代理服务收费标准及缴费账户详见“供应商须知前附表”，供应商为联合体的，可以由联合体中的一方或者多方共同交纳代理服务费。</w:t>
      </w:r>
    </w:p>
    <w:p w14:paraId="2D5E93A6">
      <w:pPr>
        <w:tabs>
          <w:tab w:val="left" w:pos="2835"/>
        </w:tabs>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32.2</w:t>
      </w:r>
      <w:r>
        <w:rPr>
          <w:rFonts w:hint="eastAsia" w:ascii="宋体" w:hAnsi="宋体" w:cs="宋体"/>
          <w:color w:val="auto"/>
          <w:szCs w:val="21"/>
          <w:highlight w:val="none"/>
        </w:rPr>
        <w:t>代理服务费收费计算标准：</w:t>
      </w:r>
    </w:p>
    <w:tbl>
      <w:tblPr>
        <w:tblStyle w:val="2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2"/>
        <w:gridCol w:w="1659"/>
        <w:gridCol w:w="1532"/>
        <w:gridCol w:w="1546"/>
      </w:tblGrid>
      <w:tr w14:paraId="4D63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l2br w:val="single" w:color="auto" w:sz="4" w:space="0"/>
            </w:tcBorders>
          </w:tcPr>
          <w:p w14:paraId="2053081F">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费率</w:t>
            </w:r>
          </w:p>
          <w:p w14:paraId="2C6B454F">
            <w:pPr>
              <w:spacing w:line="360" w:lineRule="auto"/>
              <w:rPr>
                <w:rFonts w:ascii="宋体" w:hAnsi="宋体" w:cs="宋体"/>
                <w:color w:val="auto"/>
                <w:szCs w:val="21"/>
                <w:highlight w:val="none"/>
              </w:rPr>
            </w:pPr>
            <w:r>
              <w:rPr>
                <w:rFonts w:hint="eastAsia" w:ascii="宋体" w:hAnsi="宋体" w:cs="宋体"/>
                <w:color w:val="auto"/>
                <w:szCs w:val="21"/>
                <w:highlight w:val="none"/>
              </w:rPr>
              <w:t>金额</w:t>
            </w:r>
          </w:p>
        </w:tc>
        <w:tc>
          <w:tcPr>
            <w:tcW w:w="1659" w:type="dxa"/>
            <w:vAlign w:val="center"/>
          </w:tcPr>
          <w:p w14:paraId="2A4EBC72">
            <w:pPr>
              <w:spacing w:line="360" w:lineRule="auto"/>
              <w:ind w:firstLine="105" w:firstLineChars="50"/>
              <w:jc w:val="center"/>
              <w:rPr>
                <w:rFonts w:ascii="宋体" w:hAnsi="宋体" w:cs="宋体"/>
                <w:color w:val="auto"/>
                <w:szCs w:val="21"/>
                <w:highlight w:val="none"/>
              </w:rPr>
            </w:pPr>
            <w:r>
              <w:rPr>
                <w:rFonts w:hint="eastAsia" w:ascii="宋体" w:hAnsi="宋体" w:cs="宋体"/>
                <w:color w:val="auto"/>
                <w:szCs w:val="21"/>
                <w:highlight w:val="none"/>
              </w:rPr>
              <w:t>货物类</w:t>
            </w:r>
          </w:p>
        </w:tc>
        <w:tc>
          <w:tcPr>
            <w:tcW w:w="1532" w:type="dxa"/>
            <w:vAlign w:val="center"/>
          </w:tcPr>
          <w:p w14:paraId="29A0259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服务类</w:t>
            </w:r>
          </w:p>
        </w:tc>
        <w:tc>
          <w:tcPr>
            <w:tcW w:w="1546" w:type="dxa"/>
            <w:vAlign w:val="center"/>
          </w:tcPr>
          <w:p w14:paraId="7FCF43A8">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工程类</w:t>
            </w:r>
          </w:p>
        </w:tc>
      </w:tr>
      <w:tr w14:paraId="5FB8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Pr>
          <w:p w14:paraId="7E05A144">
            <w:pPr>
              <w:spacing w:line="360" w:lineRule="auto"/>
              <w:rPr>
                <w:rFonts w:ascii="宋体" w:hAnsi="宋体" w:cs="宋体"/>
                <w:color w:val="auto"/>
                <w:szCs w:val="21"/>
                <w:highlight w:val="none"/>
              </w:rPr>
            </w:pPr>
            <w:r>
              <w:rPr>
                <w:rFonts w:hint="eastAsia" w:ascii="宋体" w:hAnsi="宋体" w:cs="宋体"/>
                <w:color w:val="auto"/>
                <w:szCs w:val="21"/>
                <w:highlight w:val="none"/>
              </w:rPr>
              <w:t>100万元以下</w:t>
            </w:r>
          </w:p>
        </w:tc>
        <w:tc>
          <w:tcPr>
            <w:tcW w:w="1659" w:type="dxa"/>
          </w:tcPr>
          <w:p w14:paraId="3908B420">
            <w:pPr>
              <w:spacing w:line="360" w:lineRule="auto"/>
              <w:rPr>
                <w:rFonts w:ascii="宋体" w:hAnsi="宋体" w:cs="宋体"/>
                <w:color w:val="auto"/>
                <w:szCs w:val="21"/>
                <w:highlight w:val="none"/>
              </w:rPr>
            </w:pPr>
            <w:r>
              <w:rPr>
                <w:rFonts w:hint="eastAsia" w:ascii="宋体" w:hAnsi="宋体" w:cs="宋体"/>
                <w:color w:val="auto"/>
                <w:kern w:val="0"/>
                <w:szCs w:val="21"/>
                <w:highlight w:val="none"/>
              </w:rPr>
              <w:t xml:space="preserve">  1.5%                </w:t>
            </w:r>
          </w:p>
        </w:tc>
        <w:tc>
          <w:tcPr>
            <w:tcW w:w="1532" w:type="dxa"/>
          </w:tcPr>
          <w:p w14:paraId="1DF3045F">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1.5%</w:t>
            </w:r>
          </w:p>
        </w:tc>
        <w:tc>
          <w:tcPr>
            <w:tcW w:w="1546" w:type="dxa"/>
          </w:tcPr>
          <w:p w14:paraId="0EFB74B3">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 xml:space="preserve">1.0% </w:t>
            </w:r>
          </w:p>
        </w:tc>
      </w:tr>
      <w:tr w14:paraId="2921B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Pr>
          <w:p w14:paraId="4C211523">
            <w:pPr>
              <w:spacing w:line="360" w:lineRule="auto"/>
              <w:rPr>
                <w:rFonts w:ascii="宋体" w:hAnsi="宋体" w:cs="宋体"/>
                <w:color w:val="auto"/>
                <w:szCs w:val="21"/>
                <w:highlight w:val="none"/>
              </w:rPr>
            </w:pPr>
            <w:r>
              <w:rPr>
                <w:rFonts w:hint="eastAsia" w:ascii="宋体" w:hAnsi="宋体" w:cs="宋体"/>
                <w:color w:val="auto"/>
                <w:szCs w:val="21"/>
                <w:highlight w:val="none"/>
              </w:rPr>
              <w:t>100～500万元</w:t>
            </w:r>
          </w:p>
        </w:tc>
        <w:tc>
          <w:tcPr>
            <w:tcW w:w="1659" w:type="dxa"/>
          </w:tcPr>
          <w:p w14:paraId="2C34B4C3">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 xml:space="preserve">1.1%                 </w:t>
            </w:r>
          </w:p>
        </w:tc>
        <w:tc>
          <w:tcPr>
            <w:tcW w:w="1532" w:type="dxa"/>
          </w:tcPr>
          <w:p w14:paraId="7D075688">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0.8%</w:t>
            </w:r>
          </w:p>
        </w:tc>
        <w:tc>
          <w:tcPr>
            <w:tcW w:w="1546" w:type="dxa"/>
          </w:tcPr>
          <w:p w14:paraId="1D8F9A5E">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 xml:space="preserve">0.7% </w:t>
            </w:r>
          </w:p>
        </w:tc>
      </w:tr>
      <w:tr w14:paraId="1D4E1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Pr>
          <w:p w14:paraId="0E94F5E3">
            <w:pPr>
              <w:spacing w:line="360" w:lineRule="auto"/>
              <w:rPr>
                <w:rFonts w:ascii="宋体" w:hAnsi="宋体" w:cs="宋体"/>
                <w:color w:val="auto"/>
                <w:szCs w:val="21"/>
                <w:highlight w:val="none"/>
              </w:rPr>
            </w:pPr>
            <w:r>
              <w:rPr>
                <w:rFonts w:hint="eastAsia" w:ascii="宋体" w:hAnsi="宋体" w:cs="宋体"/>
                <w:color w:val="auto"/>
                <w:szCs w:val="21"/>
                <w:highlight w:val="none"/>
              </w:rPr>
              <w:t>500～1000万元</w:t>
            </w:r>
          </w:p>
        </w:tc>
        <w:tc>
          <w:tcPr>
            <w:tcW w:w="1659" w:type="dxa"/>
          </w:tcPr>
          <w:p w14:paraId="03A9B559">
            <w:pPr>
              <w:spacing w:line="360" w:lineRule="auto"/>
              <w:rPr>
                <w:rFonts w:ascii="宋体" w:hAnsi="宋体" w:cs="宋体"/>
                <w:color w:val="auto"/>
                <w:szCs w:val="21"/>
                <w:highlight w:val="none"/>
              </w:rPr>
            </w:pPr>
            <w:r>
              <w:rPr>
                <w:rFonts w:hint="eastAsia" w:ascii="宋体" w:hAnsi="宋体" w:cs="宋体"/>
                <w:color w:val="auto"/>
                <w:kern w:val="0"/>
                <w:szCs w:val="21"/>
                <w:highlight w:val="none"/>
              </w:rPr>
              <w:t xml:space="preserve">  0.8%                </w:t>
            </w:r>
          </w:p>
        </w:tc>
        <w:tc>
          <w:tcPr>
            <w:tcW w:w="1532" w:type="dxa"/>
          </w:tcPr>
          <w:p w14:paraId="209ECD6F">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0.45%</w:t>
            </w:r>
          </w:p>
        </w:tc>
        <w:tc>
          <w:tcPr>
            <w:tcW w:w="1546" w:type="dxa"/>
          </w:tcPr>
          <w:p w14:paraId="073BD459">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0.55%</w:t>
            </w:r>
          </w:p>
        </w:tc>
      </w:tr>
      <w:tr w14:paraId="5931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Pr>
          <w:p w14:paraId="57C4E0BD">
            <w:pPr>
              <w:spacing w:line="360" w:lineRule="auto"/>
              <w:rPr>
                <w:rFonts w:ascii="宋体" w:hAnsi="宋体" w:cs="宋体"/>
                <w:color w:val="auto"/>
                <w:szCs w:val="21"/>
                <w:highlight w:val="none"/>
              </w:rPr>
            </w:pPr>
            <w:r>
              <w:rPr>
                <w:rFonts w:hint="eastAsia" w:ascii="宋体" w:hAnsi="宋体" w:cs="宋体"/>
                <w:color w:val="auto"/>
                <w:szCs w:val="21"/>
                <w:highlight w:val="none"/>
              </w:rPr>
              <w:t>1000～5000万元</w:t>
            </w:r>
          </w:p>
        </w:tc>
        <w:tc>
          <w:tcPr>
            <w:tcW w:w="1659" w:type="dxa"/>
          </w:tcPr>
          <w:p w14:paraId="36EE9C9C">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 xml:space="preserve">0.5%                </w:t>
            </w:r>
          </w:p>
        </w:tc>
        <w:tc>
          <w:tcPr>
            <w:tcW w:w="1532" w:type="dxa"/>
          </w:tcPr>
          <w:p w14:paraId="7AFAE05D">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0.25%</w:t>
            </w:r>
          </w:p>
        </w:tc>
        <w:tc>
          <w:tcPr>
            <w:tcW w:w="1546" w:type="dxa"/>
          </w:tcPr>
          <w:p w14:paraId="057E4BDF">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 xml:space="preserve">0.35% </w:t>
            </w:r>
          </w:p>
        </w:tc>
      </w:tr>
      <w:tr w14:paraId="0F221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Pr>
          <w:p w14:paraId="54B16388">
            <w:pPr>
              <w:spacing w:line="360" w:lineRule="auto"/>
              <w:rPr>
                <w:rFonts w:ascii="宋体" w:hAnsi="宋体" w:cs="宋体"/>
                <w:color w:val="auto"/>
                <w:szCs w:val="21"/>
                <w:highlight w:val="none"/>
              </w:rPr>
            </w:pPr>
            <w:r>
              <w:rPr>
                <w:rFonts w:hint="eastAsia" w:ascii="宋体" w:hAnsi="宋体" w:cs="宋体"/>
                <w:color w:val="auto"/>
                <w:szCs w:val="21"/>
                <w:highlight w:val="none"/>
              </w:rPr>
              <w:t>5000万元～1亿元</w:t>
            </w:r>
          </w:p>
        </w:tc>
        <w:tc>
          <w:tcPr>
            <w:tcW w:w="1659" w:type="dxa"/>
          </w:tcPr>
          <w:p w14:paraId="34443864">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 xml:space="preserve">0.25%                 </w:t>
            </w:r>
          </w:p>
        </w:tc>
        <w:tc>
          <w:tcPr>
            <w:tcW w:w="1532" w:type="dxa"/>
          </w:tcPr>
          <w:p w14:paraId="383421F4">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0.1%</w:t>
            </w:r>
          </w:p>
        </w:tc>
        <w:tc>
          <w:tcPr>
            <w:tcW w:w="1546" w:type="dxa"/>
          </w:tcPr>
          <w:p w14:paraId="43076E60">
            <w:pPr>
              <w:spacing w:line="360" w:lineRule="auto"/>
              <w:ind w:firstLine="210" w:firstLineChars="100"/>
              <w:rPr>
                <w:rFonts w:ascii="宋体" w:hAnsi="宋体" w:cs="宋体"/>
                <w:color w:val="auto"/>
                <w:szCs w:val="21"/>
                <w:highlight w:val="none"/>
              </w:rPr>
            </w:pPr>
            <w:r>
              <w:rPr>
                <w:rFonts w:hint="eastAsia" w:ascii="宋体" w:hAnsi="宋体" w:cs="宋体"/>
                <w:color w:val="auto"/>
                <w:kern w:val="0"/>
                <w:szCs w:val="21"/>
                <w:highlight w:val="none"/>
              </w:rPr>
              <w:t>0.2%</w:t>
            </w:r>
          </w:p>
        </w:tc>
      </w:tr>
    </w:tbl>
    <w:p w14:paraId="024B683F">
      <w:pPr>
        <w:spacing w:line="360" w:lineRule="auto"/>
        <w:ind w:firstLine="420" w:firstLineChars="200"/>
        <w:rPr>
          <w:rFonts w:ascii="宋体" w:hAnsi="宋体" w:cs="宋体"/>
          <w:color w:val="auto"/>
          <w:highlight w:val="none"/>
        </w:rPr>
      </w:pPr>
      <w:r>
        <w:rPr>
          <w:rFonts w:ascii="宋体" w:hAnsi="宋体" w:cs="宋体"/>
          <w:color w:val="auto"/>
          <w:highlight w:val="none"/>
        </w:rPr>
        <w:t>注：</w:t>
      </w:r>
    </w:p>
    <w:p w14:paraId="21EAE313">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（1）</w:t>
      </w:r>
      <w:r>
        <w:rPr>
          <w:rFonts w:ascii="宋体" w:hAnsi="宋体" w:cs="宋体"/>
          <w:color w:val="auto"/>
          <w:highlight w:val="none"/>
        </w:rPr>
        <w:t>按本表费率计算的收费为</w:t>
      </w:r>
      <w:r>
        <w:rPr>
          <w:rFonts w:hint="eastAsia" w:ascii="宋体" w:hAnsi="宋体" w:cs="宋体"/>
          <w:color w:val="auto"/>
          <w:highlight w:val="none"/>
        </w:rPr>
        <w:t>采购</w:t>
      </w:r>
      <w:r>
        <w:rPr>
          <w:rFonts w:ascii="宋体" w:hAnsi="宋体" w:cs="宋体"/>
          <w:color w:val="auto"/>
          <w:highlight w:val="none"/>
        </w:rPr>
        <w:t>代理的收费基准价格</w:t>
      </w:r>
      <w:r>
        <w:rPr>
          <w:rFonts w:hint="eastAsia" w:ascii="宋体" w:hAnsi="宋体" w:cs="宋体"/>
          <w:color w:val="auto"/>
          <w:highlight w:val="none"/>
        </w:rPr>
        <w:t>；</w:t>
      </w:r>
    </w:p>
    <w:p w14:paraId="4B160D7F">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（2）采购</w:t>
      </w:r>
      <w:r>
        <w:rPr>
          <w:rFonts w:ascii="宋体" w:hAnsi="宋体" w:cs="宋体"/>
          <w:color w:val="auto"/>
          <w:highlight w:val="none"/>
        </w:rPr>
        <w:t>代理收费按差额定率累进法计算。</w:t>
      </w:r>
    </w:p>
    <w:p w14:paraId="28109775">
      <w:pPr>
        <w:spacing w:line="360" w:lineRule="auto"/>
        <w:ind w:firstLine="420" w:firstLineChars="200"/>
        <w:rPr>
          <w:rFonts w:ascii="宋体" w:hAnsi="宋体" w:cs="宋体"/>
          <w:color w:val="auto"/>
          <w:highlight w:val="none"/>
        </w:rPr>
      </w:pPr>
      <w:r>
        <w:rPr>
          <w:rFonts w:ascii="宋体" w:hAnsi="宋体" w:cs="宋体"/>
          <w:color w:val="auto"/>
          <w:highlight w:val="none"/>
        </w:rPr>
        <w:t>例如：某</w:t>
      </w:r>
      <w:r>
        <w:rPr>
          <w:rFonts w:hint="eastAsia" w:ascii="宋体" w:hAnsi="宋体" w:cs="宋体"/>
          <w:color w:val="auto"/>
          <w:highlight w:val="none"/>
        </w:rPr>
        <w:t>服务采购</w:t>
      </w:r>
      <w:r>
        <w:rPr>
          <w:rFonts w:ascii="宋体" w:hAnsi="宋体" w:cs="宋体"/>
          <w:color w:val="auto"/>
          <w:highlight w:val="none"/>
        </w:rPr>
        <w:t>代理业务</w:t>
      </w:r>
      <w:r>
        <w:rPr>
          <w:rFonts w:hint="eastAsia" w:ascii="宋体" w:hAnsi="宋体" w:cs="宋体"/>
          <w:color w:val="auto"/>
          <w:highlight w:val="none"/>
        </w:rPr>
        <w:t>成交</w:t>
      </w:r>
      <w:r>
        <w:rPr>
          <w:rFonts w:ascii="宋体" w:hAnsi="宋体" w:cs="宋体"/>
          <w:color w:val="auto"/>
          <w:highlight w:val="none"/>
        </w:rPr>
        <w:t>金额</w:t>
      </w:r>
      <w:r>
        <w:rPr>
          <w:rFonts w:hint="eastAsia" w:ascii="宋体" w:hAnsi="宋体" w:cs="宋体"/>
          <w:color w:val="auto"/>
          <w:highlight w:val="none"/>
        </w:rPr>
        <w:t>或者暂定价</w:t>
      </w:r>
      <w:r>
        <w:rPr>
          <w:rFonts w:ascii="宋体" w:hAnsi="宋体" w:cs="宋体"/>
          <w:color w:val="auto"/>
          <w:highlight w:val="none"/>
        </w:rPr>
        <w:t>为150万元，计算</w:t>
      </w:r>
      <w:r>
        <w:rPr>
          <w:rFonts w:hint="eastAsia" w:ascii="宋体" w:hAnsi="宋体" w:cs="宋体"/>
          <w:color w:val="auto"/>
          <w:highlight w:val="none"/>
        </w:rPr>
        <w:t>采购</w:t>
      </w:r>
      <w:r>
        <w:rPr>
          <w:rFonts w:ascii="宋体" w:hAnsi="宋体" w:cs="宋体"/>
          <w:color w:val="auto"/>
          <w:highlight w:val="none"/>
        </w:rPr>
        <w:t>代理收费额如下：</w:t>
      </w:r>
    </w:p>
    <w:p w14:paraId="1F8F2093">
      <w:pPr>
        <w:spacing w:line="360" w:lineRule="auto"/>
        <w:ind w:firstLine="420" w:firstLineChars="200"/>
        <w:rPr>
          <w:rFonts w:ascii="宋体" w:hAnsi="宋体" w:cs="宋体"/>
          <w:color w:val="auto"/>
          <w:highlight w:val="none"/>
        </w:rPr>
      </w:pPr>
      <w:r>
        <w:rPr>
          <w:rFonts w:ascii="宋体" w:hAnsi="宋体" w:cs="宋体"/>
          <w:color w:val="auto"/>
          <w:highlight w:val="none"/>
        </w:rPr>
        <w:t>100 万元 ×l.5 %＝ 1.5 万元</w:t>
      </w:r>
    </w:p>
    <w:p w14:paraId="50E15C4D">
      <w:pPr>
        <w:spacing w:line="360" w:lineRule="auto"/>
        <w:ind w:firstLine="420" w:firstLineChars="200"/>
        <w:rPr>
          <w:rFonts w:ascii="宋体" w:hAnsi="宋体" w:cs="宋体"/>
          <w:color w:val="auto"/>
          <w:highlight w:val="none"/>
        </w:rPr>
      </w:pPr>
      <w:r>
        <w:rPr>
          <w:rFonts w:ascii="宋体" w:hAnsi="宋体" w:cs="宋体"/>
          <w:color w:val="auto"/>
          <w:highlight w:val="none"/>
        </w:rPr>
        <w:t>（ 150 － 100 ）万元 ×0.8%＝ 0.4万元</w:t>
      </w:r>
    </w:p>
    <w:p w14:paraId="709ED8F3">
      <w:pPr>
        <w:spacing w:line="360" w:lineRule="auto"/>
        <w:ind w:firstLine="420" w:firstLineChars="200"/>
        <w:rPr>
          <w:rFonts w:ascii="宋体" w:hAnsi="宋体" w:cs="宋体"/>
          <w:color w:val="auto"/>
          <w:highlight w:val="none"/>
        </w:rPr>
      </w:pPr>
      <w:r>
        <w:rPr>
          <w:rFonts w:ascii="宋体" w:hAnsi="宋体" w:cs="宋体"/>
          <w:color w:val="auto"/>
          <w:highlight w:val="none"/>
        </w:rPr>
        <w:t>合计收费＝ 1.5 ＋ 0.4＝ 1.9 万元</w:t>
      </w:r>
    </w:p>
    <w:p w14:paraId="18F5E076">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3</w:t>
      </w:r>
      <w:r>
        <w:rPr>
          <w:rFonts w:ascii="黑体" w:hAnsi="黑体" w:eastAsia="黑体" w:cs="宋体"/>
          <w:b/>
          <w:bCs/>
          <w:color w:val="auto"/>
          <w:sz w:val="24"/>
          <w:highlight w:val="none"/>
        </w:rPr>
        <w:t>3.需要补充的其他内容</w:t>
      </w:r>
    </w:p>
    <w:p w14:paraId="2BB0BDD9">
      <w:pPr>
        <w:pStyle w:val="12"/>
        <w:spacing w:line="360" w:lineRule="auto"/>
        <w:ind w:firstLine="420" w:firstLineChars="200"/>
        <w:textAlignment w:val="center"/>
        <w:rPr>
          <w:rFonts w:hAnsi="宋体" w:cs="宋体"/>
          <w:color w:val="auto"/>
          <w:kern w:val="2"/>
          <w:sz w:val="21"/>
          <w:highlight w:val="none"/>
        </w:rPr>
      </w:pPr>
      <w:r>
        <w:rPr>
          <w:rFonts w:hint="eastAsia" w:hAnsi="宋体" w:cs="宋体"/>
          <w:color w:val="auto"/>
          <w:kern w:val="2"/>
          <w:sz w:val="21"/>
          <w:highlight w:val="none"/>
        </w:rPr>
        <w:t>3</w:t>
      </w:r>
      <w:r>
        <w:rPr>
          <w:rFonts w:hAnsi="宋体" w:cs="宋体"/>
          <w:color w:val="auto"/>
          <w:kern w:val="2"/>
          <w:sz w:val="21"/>
          <w:highlight w:val="none"/>
        </w:rPr>
        <w:t>3.1</w:t>
      </w:r>
      <w:r>
        <w:rPr>
          <w:rFonts w:hint="eastAsia" w:hAnsi="宋体" w:cs="宋体"/>
          <w:color w:val="auto"/>
          <w:kern w:val="2"/>
          <w:sz w:val="21"/>
          <w:highlight w:val="none"/>
        </w:rPr>
        <w:t>本磋商文件解释规则详见“供应商须知前附表”。</w:t>
      </w:r>
    </w:p>
    <w:p w14:paraId="36700367">
      <w:pPr>
        <w:pStyle w:val="12"/>
        <w:spacing w:line="360" w:lineRule="auto"/>
        <w:ind w:firstLine="420" w:firstLineChars="200"/>
        <w:textAlignment w:val="center"/>
        <w:rPr>
          <w:rFonts w:hAnsi="宋体" w:cs="宋体"/>
          <w:color w:val="auto"/>
          <w:kern w:val="2"/>
          <w:sz w:val="21"/>
          <w:highlight w:val="none"/>
        </w:rPr>
      </w:pPr>
      <w:r>
        <w:rPr>
          <w:rFonts w:hAnsi="宋体" w:cs="宋体"/>
          <w:color w:val="auto"/>
          <w:kern w:val="2"/>
          <w:sz w:val="21"/>
          <w:highlight w:val="none"/>
        </w:rPr>
        <w:t>33.2</w:t>
      </w:r>
      <w:r>
        <w:rPr>
          <w:rFonts w:hint="eastAsia" w:hAnsi="宋体" w:cs="宋体"/>
          <w:color w:val="auto"/>
          <w:kern w:val="2"/>
          <w:sz w:val="21"/>
          <w:highlight w:val="none"/>
        </w:rPr>
        <w:t xml:space="preserve"> 其他事项详见“供应商须知前附表”。</w:t>
      </w:r>
    </w:p>
    <w:p w14:paraId="5C54510D">
      <w:pPr>
        <w:pStyle w:val="9"/>
        <w:ind w:left="1" w:firstLine="2" w:firstLineChars="1"/>
        <w:rPr>
          <w:rFonts w:ascii="宋体"/>
          <w:b/>
          <w:bCs/>
          <w:color w:val="auto"/>
          <w:sz w:val="18"/>
          <w:szCs w:val="18"/>
          <w:highlight w:val="none"/>
          <w:u w:val="single"/>
        </w:rPr>
      </w:pPr>
      <w:r>
        <w:rPr>
          <w:rFonts w:hAnsi="宋体"/>
          <w:b/>
          <w:color w:val="auto"/>
          <w:highlight w:val="none"/>
        </w:rPr>
        <w:br w:type="page"/>
      </w:r>
    </w:p>
    <w:p w14:paraId="01898B59">
      <w:pPr>
        <w:pStyle w:val="3"/>
        <w:numPr>
          <w:ilvl w:val="0"/>
          <w:numId w:val="4"/>
        </w:numPr>
        <w:jc w:val="center"/>
        <w:rPr>
          <w:color w:val="auto"/>
          <w:highlight w:val="none"/>
        </w:rPr>
      </w:pPr>
      <w:bookmarkStart w:id="76" w:name="_Toc14290"/>
      <w:r>
        <w:rPr>
          <w:rFonts w:hint="eastAsia"/>
          <w:color w:val="auto"/>
          <w:highlight w:val="none"/>
        </w:rPr>
        <w:t>采购需求</w:t>
      </w:r>
      <w:bookmarkEnd w:id="76"/>
    </w:p>
    <w:p w14:paraId="0B451714">
      <w:pPr>
        <w:pageBreakBefore w:val="0"/>
        <w:numPr>
          <w:ilvl w:val="0"/>
          <w:numId w:val="5"/>
        </w:numPr>
        <w:kinsoku/>
        <w:wordWrap/>
        <w:overflowPunct/>
        <w:topLinePunct w:val="0"/>
        <w:bidi w:val="0"/>
        <w:spacing w:line="400" w:lineRule="exact"/>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采购预算金额：</w:t>
      </w:r>
    </w:p>
    <w:p w14:paraId="43862B06">
      <w:pPr>
        <w:pageBreakBefore w:val="0"/>
        <w:numPr>
          <w:ilvl w:val="0"/>
          <w:numId w:val="0"/>
        </w:numPr>
        <w:kinsoku/>
        <w:wordWrap/>
        <w:overflowPunct/>
        <w:topLinePunct w:val="0"/>
        <w:bidi w:val="0"/>
        <w:spacing w:line="400" w:lineRule="exact"/>
        <w:ind w:left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说明：</w:t>
      </w:r>
    </w:p>
    <w:p w14:paraId="3217D6D5">
      <w:pPr>
        <w:pageBreakBefore w:val="0"/>
        <w:numPr>
          <w:ilvl w:val="0"/>
          <w:numId w:val="0"/>
        </w:numPr>
        <w:kinsoku/>
        <w:wordWrap/>
        <w:overflowPunct/>
        <w:topLinePunct w:val="0"/>
        <w:bidi w:val="0"/>
        <w:spacing w:line="40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小区住宅及商铺物业费：</w:t>
      </w:r>
    </w:p>
    <w:p w14:paraId="768AC8C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lang w:val="en-US" w:eastAsia="zh-CN"/>
        </w:rPr>
      </w:pPr>
      <w:bookmarkStart w:id="77" w:name="OLE_LINK6"/>
      <w:bookmarkStart w:id="78" w:name="OLE_LINK5"/>
      <w:r>
        <w:rPr>
          <w:rFonts w:hint="eastAsia" w:ascii="宋体" w:hAnsi="宋体" w:eastAsia="宋体" w:cs="宋体"/>
          <w:color w:val="auto"/>
          <w:sz w:val="21"/>
          <w:szCs w:val="21"/>
          <w:highlight w:val="none"/>
          <w:lang w:val="en-US" w:eastAsia="zh-CN"/>
        </w:rPr>
        <w:t>A区(梧桐水岸）</w:t>
      </w:r>
    </w:p>
    <w:p w14:paraId="485651BF">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物业费预算价</w:t>
      </w:r>
      <w:r>
        <w:rPr>
          <w:rFonts w:hint="eastAsia" w:ascii="宋体" w:hAnsi="宋体" w:eastAsia="宋体" w:cs="宋体"/>
          <w:color w:val="auto"/>
          <w:sz w:val="21"/>
          <w:szCs w:val="21"/>
          <w:highlight w:val="none"/>
          <w:lang w:val="en-US" w:eastAsia="zh-CN"/>
        </w:rPr>
        <w:t>约</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lang w:val="en-US" w:eastAsia="zh-CN"/>
        </w:rPr>
        <w:t>399410.03</w:t>
      </w:r>
      <w:r>
        <w:rPr>
          <w:rFonts w:hint="eastAsia" w:ascii="宋体" w:hAnsi="宋体" w:eastAsia="宋体" w:cs="宋体"/>
          <w:color w:val="auto"/>
          <w:sz w:val="21"/>
          <w:szCs w:val="21"/>
          <w:highlight w:val="none"/>
        </w:rPr>
        <w:t>元/年，</w:t>
      </w:r>
      <w:r>
        <w:rPr>
          <w:rFonts w:hint="eastAsia" w:ascii="宋体" w:hAnsi="宋体" w:eastAsia="宋体" w:cs="宋体"/>
          <w:color w:val="auto"/>
          <w:sz w:val="21"/>
          <w:szCs w:val="21"/>
          <w:highlight w:val="none"/>
          <w:lang w:eastAsia="zh-CN"/>
        </w:rPr>
        <w:t>物业费</w:t>
      </w:r>
      <w:r>
        <w:rPr>
          <w:rFonts w:hint="eastAsia" w:ascii="宋体" w:hAnsi="宋体" w:eastAsia="宋体" w:cs="宋体"/>
          <w:color w:val="auto"/>
          <w:sz w:val="21"/>
          <w:szCs w:val="21"/>
          <w:highlight w:val="none"/>
        </w:rPr>
        <w:t>收费</w:t>
      </w:r>
      <w:r>
        <w:rPr>
          <w:rFonts w:hint="eastAsia" w:ascii="宋体" w:hAnsi="宋体" w:eastAsia="宋体" w:cs="宋体"/>
          <w:color w:val="auto"/>
          <w:sz w:val="21"/>
          <w:szCs w:val="21"/>
          <w:highlight w:val="none"/>
          <w:lang w:eastAsia="zh-CN"/>
        </w:rPr>
        <w:t>标准：住宅</w:t>
      </w:r>
      <w:r>
        <w:rPr>
          <w:rFonts w:hint="eastAsia" w:ascii="宋体" w:hAnsi="宋体" w:eastAsia="宋体" w:cs="宋体"/>
          <w:color w:val="auto"/>
          <w:sz w:val="21"/>
          <w:szCs w:val="21"/>
          <w:highlight w:val="none"/>
          <w:lang w:val="en-US" w:eastAsia="zh-CN"/>
        </w:rPr>
        <w:t>1.2元/</w:t>
      </w:r>
      <w:r>
        <w:rPr>
          <w:rFonts w:hint="eastAsia" w:ascii="宋体" w:hAnsi="宋体" w:eastAsia="宋体" w:cs="宋体"/>
          <w:color w:val="auto"/>
          <w:sz w:val="21"/>
          <w:szCs w:val="21"/>
          <w:highlight w:val="none"/>
        </w:rPr>
        <w:t>㎡/月</w:t>
      </w:r>
      <w:bookmarkEnd w:id="77"/>
      <w:bookmarkEnd w:id="78"/>
      <w:r>
        <w:rPr>
          <w:rFonts w:hint="eastAsia" w:ascii="宋体" w:hAnsi="宋体" w:eastAsia="宋体" w:cs="宋体"/>
          <w:color w:val="auto"/>
          <w:sz w:val="21"/>
          <w:szCs w:val="21"/>
          <w:highlight w:val="none"/>
          <w:lang w:eastAsia="zh-CN"/>
        </w:rPr>
        <w:t>、商铺</w:t>
      </w:r>
      <w:r>
        <w:rPr>
          <w:rFonts w:hint="eastAsia" w:ascii="宋体" w:hAnsi="宋体" w:eastAsia="宋体" w:cs="宋体"/>
          <w:color w:val="auto"/>
          <w:sz w:val="21"/>
          <w:szCs w:val="21"/>
          <w:highlight w:val="none"/>
          <w:lang w:val="en-US" w:eastAsia="zh-CN"/>
        </w:rPr>
        <w:t>2.7元/</w:t>
      </w:r>
      <w:r>
        <w:rPr>
          <w:rFonts w:hint="eastAsia" w:ascii="宋体" w:hAnsi="宋体" w:eastAsia="宋体" w:cs="宋体"/>
          <w:color w:val="auto"/>
          <w:sz w:val="21"/>
          <w:szCs w:val="21"/>
          <w:highlight w:val="none"/>
        </w:rPr>
        <w:t>㎡/月。现有出租</w:t>
      </w:r>
      <w:r>
        <w:rPr>
          <w:rFonts w:hint="eastAsia" w:ascii="宋体" w:hAnsi="宋体" w:eastAsia="宋体" w:cs="宋体"/>
          <w:color w:val="auto"/>
          <w:sz w:val="21"/>
          <w:szCs w:val="21"/>
          <w:highlight w:val="none"/>
          <w:lang w:eastAsia="zh-CN"/>
        </w:rPr>
        <w:t>车位费</w:t>
      </w:r>
      <w:r>
        <w:rPr>
          <w:rFonts w:hint="eastAsia" w:ascii="宋体" w:hAnsi="宋体" w:eastAsia="宋体" w:cs="宋体"/>
          <w:color w:val="auto"/>
          <w:sz w:val="21"/>
          <w:szCs w:val="21"/>
          <w:highlight w:val="none"/>
        </w:rPr>
        <w:t>物业可收费约</w:t>
      </w:r>
      <w:r>
        <w:rPr>
          <w:rFonts w:hint="eastAsia" w:ascii="宋体" w:hAnsi="宋体" w:eastAsia="宋体" w:cs="宋体"/>
          <w:color w:val="auto"/>
          <w:sz w:val="21"/>
          <w:szCs w:val="21"/>
          <w:highlight w:val="none"/>
          <w:lang w:val="en-US" w:eastAsia="zh-CN"/>
        </w:rPr>
        <w:t>X辆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辆</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00</w:t>
      </w:r>
      <w:r>
        <w:rPr>
          <w:rFonts w:hint="eastAsia" w:ascii="宋体" w:hAnsi="宋体" w:eastAsia="宋体" w:cs="宋体"/>
          <w:color w:val="auto"/>
          <w:sz w:val="21"/>
          <w:szCs w:val="21"/>
          <w:highlight w:val="none"/>
        </w:rPr>
        <w:t>万元，由</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向租户收取。</w:t>
      </w:r>
    </w:p>
    <w:p w14:paraId="74B446C3">
      <w:pPr>
        <w:pStyle w:val="20"/>
        <w:pageBreakBefore w:val="0"/>
        <w:kinsoku/>
        <w:wordWrap/>
        <w:overflowPunct/>
        <w:topLinePunct w:val="0"/>
        <w:bidi w:val="0"/>
        <w:spacing w:line="400" w:lineRule="exact"/>
        <w:ind w:left="0" w:leftChars="0" w:firstLine="422"/>
        <w:textAlignment w:val="auto"/>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eastAsia="zh-CN"/>
        </w:rPr>
        <w:t>（</w:t>
      </w:r>
      <w:r>
        <w:rPr>
          <w:rFonts w:hint="eastAsia" w:ascii="宋体" w:hAnsi="宋体" w:cs="宋体"/>
          <w:b w:val="0"/>
          <w:bCs/>
          <w:color w:val="auto"/>
          <w:sz w:val="21"/>
          <w:szCs w:val="21"/>
          <w:highlight w:val="none"/>
          <w:lang w:eastAsia="zh-CN"/>
        </w:rPr>
        <w:t>供应商</w:t>
      </w:r>
      <w:r>
        <w:rPr>
          <w:rFonts w:hint="eastAsia" w:ascii="宋体" w:hAnsi="宋体" w:eastAsia="宋体" w:cs="宋体"/>
          <w:b w:val="0"/>
          <w:bCs/>
          <w:color w:val="auto"/>
          <w:sz w:val="21"/>
          <w:szCs w:val="21"/>
          <w:highlight w:val="none"/>
        </w:rPr>
        <w:t>自行承担向租户催缴应收物业费之责任，扣除</w:t>
      </w:r>
      <w:r>
        <w:rPr>
          <w:rFonts w:hint="eastAsia" w:ascii="宋体" w:hAnsi="宋体" w:cs="宋体"/>
          <w:b w:val="0"/>
          <w:bCs/>
          <w:color w:val="auto"/>
          <w:sz w:val="21"/>
          <w:szCs w:val="21"/>
          <w:highlight w:val="none"/>
          <w:lang w:eastAsia="zh-CN"/>
        </w:rPr>
        <w:t>供应商</w:t>
      </w:r>
      <w:r>
        <w:rPr>
          <w:rFonts w:hint="eastAsia" w:ascii="宋体" w:hAnsi="宋体" w:eastAsia="宋体" w:cs="宋体"/>
          <w:b w:val="0"/>
          <w:bCs/>
          <w:color w:val="auto"/>
          <w:sz w:val="21"/>
          <w:szCs w:val="21"/>
          <w:highlight w:val="none"/>
        </w:rPr>
        <w:t>应收物业费后，由招标人补足与</w:t>
      </w:r>
      <w:r>
        <w:rPr>
          <w:rFonts w:hint="eastAsia" w:ascii="宋体" w:hAnsi="宋体" w:cs="宋体"/>
          <w:b w:val="0"/>
          <w:bCs/>
          <w:color w:val="auto"/>
          <w:sz w:val="21"/>
          <w:szCs w:val="21"/>
          <w:highlight w:val="none"/>
          <w:lang w:eastAsia="zh-CN"/>
        </w:rPr>
        <w:t>成交价</w:t>
      </w:r>
      <w:r>
        <w:rPr>
          <w:rFonts w:hint="eastAsia" w:ascii="宋体" w:hAnsi="宋体" w:eastAsia="宋体" w:cs="宋体"/>
          <w:b w:val="0"/>
          <w:bCs/>
          <w:color w:val="auto"/>
          <w:sz w:val="21"/>
          <w:szCs w:val="21"/>
          <w:highlight w:val="none"/>
        </w:rPr>
        <w:t>差额部分费用</w:t>
      </w:r>
      <w:r>
        <w:rPr>
          <w:rFonts w:hint="eastAsia" w:ascii="宋体" w:hAnsi="宋体" w:eastAsia="宋体" w:cs="宋体"/>
          <w:b w:val="0"/>
          <w:bCs/>
          <w:color w:val="auto"/>
          <w:sz w:val="21"/>
          <w:szCs w:val="21"/>
          <w:highlight w:val="none"/>
          <w:lang w:eastAsia="zh-CN"/>
        </w:rPr>
        <w:t>）</w:t>
      </w:r>
    </w:p>
    <w:p w14:paraId="1D9073D4">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B区（梧桐家园）</w:t>
      </w:r>
    </w:p>
    <w:p w14:paraId="732F192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物业费预算价</w:t>
      </w:r>
      <w:r>
        <w:rPr>
          <w:rFonts w:hint="eastAsia" w:ascii="宋体" w:hAnsi="宋体" w:eastAsia="宋体" w:cs="宋体"/>
          <w:color w:val="auto"/>
          <w:sz w:val="21"/>
          <w:szCs w:val="21"/>
          <w:highlight w:val="none"/>
          <w:lang w:val="en-US" w:eastAsia="zh-CN"/>
        </w:rPr>
        <w:t>约</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lang w:val="en-US" w:eastAsia="zh-CN"/>
        </w:rPr>
        <w:t>184503.58</w:t>
      </w:r>
      <w:r>
        <w:rPr>
          <w:rFonts w:hint="eastAsia" w:ascii="宋体" w:hAnsi="宋体" w:eastAsia="宋体" w:cs="宋体"/>
          <w:color w:val="auto"/>
          <w:sz w:val="21"/>
          <w:szCs w:val="21"/>
          <w:highlight w:val="none"/>
        </w:rPr>
        <w:t>元/年，</w:t>
      </w:r>
      <w:r>
        <w:rPr>
          <w:rFonts w:hint="eastAsia" w:ascii="宋体" w:hAnsi="宋体" w:eastAsia="宋体" w:cs="宋体"/>
          <w:color w:val="auto"/>
          <w:sz w:val="21"/>
          <w:szCs w:val="21"/>
          <w:highlight w:val="none"/>
          <w:lang w:eastAsia="zh-CN"/>
        </w:rPr>
        <w:t>物业费</w:t>
      </w:r>
      <w:r>
        <w:rPr>
          <w:rFonts w:hint="eastAsia" w:ascii="宋体" w:hAnsi="宋体" w:eastAsia="宋体" w:cs="宋体"/>
          <w:color w:val="auto"/>
          <w:sz w:val="21"/>
          <w:szCs w:val="21"/>
          <w:highlight w:val="none"/>
        </w:rPr>
        <w:t>收费</w:t>
      </w:r>
      <w:r>
        <w:rPr>
          <w:rFonts w:hint="eastAsia" w:ascii="宋体" w:hAnsi="宋体" w:eastAsia="宋体" w:cs="宋体"/>
          <w:color w:val="auto"/>
          <w:sz w:val="21"/>
          <w:szCs w:val="21"/>
          <w:highlight w:val="none"/>
          <w:lang w:eastAsia="zh-CN"/>
        </w:rPr>
        <w:t>标准：住宅</w:t>
      </w:r>
      <w:r>
        <w:rPr>
          <w:rFonts w:hint="eastAsia" w:ascii="宋体" w:hAnsi="宋体" w:eastAsia="宋体" w:cs="宋体"/>
          <w:color w:val="auto"/>
          <w:sz w:val="21"/>
          <w:szCs w:val="21"/>
          <w:highlight w:val="none"/>
          <w:lang w:val="en-US" w:eastAsia="zh-CN"/>
        </w:rPr>
        <w:t>1.2元/</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eastAsia="zh-CN"/>
        </w:rPr>
        <w:t>、商铺</w:t>
      </w:r>
      <w:r>
        <w:rPr>
          <w:rFonts w:hint="eastAsia" w:ascii="宋体" w:hAnsi="宋体" w:eastAsia="宋体" w:cs="宋体"/>
          <w:color w:val="auto"/>
          <w:sz w:val="21"/>
          <w:szCs w:val="21"/>
          <w:highlight w:val="none"/>
          <w:lang w:val="en-US" w:eastAsia="zh-CN"/>
        </w:rPr>
        <w:t>2.7元/</w:t>
      </w:r>
      <w:r>
        <w:rPr>
          <w:rFonts w:hint="eastAsia" w:ascii="宋体" w:hAnsi="宋体" w:eastAsia="宋体" w:cs="宋体"/>
          <w:color w:val="auto"/>
          <w:sz w:val="21"/>
          <w:szCs w:val="21"/>
          <w:highlight w:val="none"/>
        </w:rPr>
        <w:t>㎡/月。现有出租</w:t>
      </w:r>
      <w:r>
        <w:rPr>
          <w:rFonts w:hint="eastAsia" w:ascii="宋体" w:hAnsi="宋体" w:eastAsia="宋体" w:cs="宋体"/>
          <w:color w:val="auto"/>
          <w:sz w:val="21"/>
          <w:szCs w:val="21"/>
          <w:highlight w:val="none"/>
          <w:lang w:eastAsia="zh-CN"/>
        </w:rPr>
        <w:t>车位费</w:t>
      </w:r>
      <w:r>
        <w:rPr>
          <w:rFonts w:hint="eastAsia" w:ascii="宋体" w:hAnsi="宋体" w:eastAsia="宋体" w:cs="宋体"/>
          <w:color w:val="auto"/>
          <w:sz w:val="21"/>
          <w:szCs w:val="21"/>
          <w:highlight w:val="none"/>
        </w:rPr>
        <w:t>物业可收费约</w:t>
      </w:r>
      <w:r>
        <w:rPr>
          <w:rFonts w:hint="eastAsia" w:ascii="宋体" w:hAnsi="宋体" w:eastAsia="宋体" w:cs="宋体"/>
          <w:color w:val="auto"/>
          <w:sz w:val="21"/>
          <w:szCs w:val="21"/>
          <w:highlight w:val="none"/>
          <w:lang w:val="en-US" w:eastAsia="zh-CN"/>
        </w:rPr>
        <w:t>X辆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辆</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00</w:t>
      </w:r>
      <w:r>
        <w:rPr>
          <w:rFonts w:hint="eastAsia" w:ascii="宋体" w:hAnsi="宋体" w:eastAsia="宋体" w:cs="宋体"/>
          <w:color w:val="auto"/>
          <w:sz w:val="21"/>
          <w:szCs w:val="21"/>
          <w:highlight w:val="none"/>
        </w:rPr>
        <w:t>万元，由</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向租户收取。</w:t>
      </w:r>
    </w:p>
    <w:p w14:paraId="7A08A6A4">
      <w:pPr>
        <w:pStyle w:val="20"/>
        <w:pageBreakBefore w:val="0"/>
        <w:kinsoku/>
        <w:wordWrap/>
        <w:overflowPunct/>
        <w:topLinePunct w:val="0"/>
        <w:bidi w:val="0"/>
        <w:spacing w:line="400" w:lineRule="exact"/>
        <w:ind w:left="0" w:leftChars="0" w:firstLine="422"/>
        <w:textAlignment w:val="auto"/>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eastAsia="zh-CN"/>
        </w:rPr>
        <w:t>（</w:t>
      </w:r>
      <w:r>
        <w:rPr>
          <w:rFonts w:hint="eastAsia" w:ascii="宋体" w:hAnsi="宋体" w:cs="宋体"/>
          <w:b w:val="0"/>
          <w:bCs/>
          <w:color w:val="auto"/>
          <w:sz w:val="21"/>
          <w:szCs w:val="21"/>
          <w:highlight w:val="none"/>
          <w:lang w:eastAsia="zh-CN"/>
        </w:rPr>
        <w:t>供应商</w:t>
      </w:r>
      <w:r>
        <w:rPr>
          <w:rFonts w:hint="eastAsia" w:ascii="宋体" w:hAnsi="宋体" w:eastAsia="宋体" w:cs="宋体"/>
          <w:b w:val="0"/>
          <w:bCs/>
          <w:color w:val="auto"/>
          <w:sz w:val="21"/>
          <w:szCs w:val="21"/>
          <w:highlight w:val="none"/>
        </w:rPr>
        <w:t>自行承担向租户催缴应收物业费之责任，扣除</w:t>
      </w:r>
      <w:r>
        <w:rPr>
          <w:rFonts w:hint="eastAsia" w:ascii="宋体" w:hAnsi="宋体" w:cs="宋体"/>
          <w:b w:val="0"/>
          <w:bCs/>
          <w:color w:val="auto"/>
          <w:sz w:val="21"/>
          <w:szCs w:val="21"/>
          <w:highlight w:val="none"/>
          <w:lang w:eastAsia="zh-CN"/>
        </w:rPr>
        <w:t>供应商</w:t>
      </w:r>
      <w:r>
        <w:rPr>
          <w:rFonts w:hint="eastAsia" w:ascii="宋体" w:hAnsi="宋体" w:eastAsia="宋体" w:cs="宋体"/>
          <w:b w:val="0"/>
          <w:bCs/>
          <w:color w:val="auto"/>
          <w:sz w:val="21"/>
          <w:szCs w:val="21"/>
          <w:highlight w:val="none"/>
        </w:rPr>
        <w:t>应收物业费后，由招标人补足与</w:t>
      </w:r>
      <w:r>
        <w:rPr>
          <w:rFonts w:hint="eastAsia" w:ascii="宋体" w:hAnsi="宋体" w:cs="宋体"/>
          <w:b w:val="0"/>
          <w:bCs/>
          <w:color w:val="auto"/>
          <w:sz w:val="21"/>
          <w:szCs w:val="21"/>
          <w:highlight w:val="none"/>
          <w:lang w:eastAsia="zh-CN"/>
        </w:rPr>
        <w:t>成交价</w:t>
      </w:r>
      <w:r>
        <w:rPr>
          <w:rFonts w:hint="eastAsia" w:ascii="宋体" w:hAnsi="宋体" w:eastAsia="宋体" w:cs="宋体"/>
          <w:b w:val="0"/>
          <w:bCs/>
          <w:color w:val="auto"/>
          <w:sz w:val="21"/>
          <w:szCs w:val="21"/>
          <w:highlight w:val="none"/>
        </w:rPr>
        <w:t>差额部分费用</w:t>
      </w:r>
      <w:r>
        <w:rPr>
          <w:rFonts w:hint="eastAsia" w:ascii="宋体" w:hAnsi="宋体" w:eastAsia="宋体" w:cs="宋体"/>
          <w:b w:val="0"/>
          <w:bCs/>
          <w:color w:val="auto"/>
          <w:sz w:val="21"/>
          <w:szCs w:val="21"/>
          <w:highlight w:val="none"/>
          <w:lang w:eastAsia="zh-CN"/>
        </w:rPr>
        <w:t>）</w:t>
      </w:r>
    </w:p>
    <w:p w14:paraId="5C8E5BE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C区（梧桐新城）</w:t>
      </w:r>
    </w:p>
    <w:p w14:paraId="1034CA9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物业费预算价</w:t>
      </w:r>
      <w:r>
        <w:rPr>
          <w:rFonts w:hint="eastAsia" w:ascii="宋体" w:hAnsi="宋体" w:eastAsia="宋体" w:cs="宋体"/>
          <w:color w:val="auto"/>
          <w:sz w:val="21"/>
          <w:szCs w:val="21"/>
          <w:highlight w:val="none"/>
          <w:lang w:val="en-US" w:eastAsia="zh-CN"/>
        </w:rPr>
        <w:t>约</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lang w:val="en-US" w:eastAsia="zh-CN"/>
        </w:rPr>
        <w:t>234397</w:t>
      </w:r>
      <w:r>
        <w:rPr>
          <w:rFonts w:hint="eastAsia" w:ascii="宋体" w:hAnsi="宋体" w:eastAsia="宋体" w:cs="宋体"/>
          <w:color w:val="auto"/>
          <w:sz w:val="21"/>
          <w:szCs w:val="21"/>
          <w:highlight w:val="none"/>
        </w:rPr>
        <w:t>元/年，</w:t>
      </w:r>
      <w:r>
        <w:rPr>
          <w:rFonts w:hint="eastAsia" w:ascii="宋体" w:hAnsi="宋体" w:eastAsia="宋体" w:cs="宋体"/>
          <w:color w:val="auto"/>
          <w:sz w:val="21"/>
          <w:szCs w:val="21"/>
          <w:highlight w:val="none"/>
          <w:lang w:eastAsia="zh-CN"/>
        </w:rPr>
        <w:t>物业费</w:t>
      </w:r>
      <w:r>
        <w:rPr>
          <w:rFonts w:hint="eastAsia" w:ascii="宋体" w:hAnsi="宋体" w:eastAsia="宋体" w:cs="宋体"/>
          <w:color w:val="auto"/>
          <w:sz w:val="21"/>
          <w:szCs w:val="21"/>
          <w:highlight w:val="none"/>
        </w:rPr>
        <w:t>收费</w:t>
      </w:r>
      <w:r>
        <w:rPr>
          <w:rFonts w:hint="eastAsia" w:ascii="宋体" w:hAnsi="宋体" w:eastAsia="宋体" w:cs="宋体"/>
          <w:color w:val="auto"/>
          <w:sz w:val="21"/>
          <w:szCs w:val="21"/>
          <w:highlight w:val="none"/>
          <w:lang w:eastAsia="zh-CN"/>
        </w:rPr>
        <w:t>标准：住宅</w:t>
      </w:r>
      <w:r>
        <w:rPr>
          <w:rFonts w:hint="eastAsia" w:ascii="宋体" w:hAnsi="宋体" w:eastAsia="宋体" w:cs="宋体"/>
          <w:color w:val="auto"/>
          <w:sz w:val="21"/>
          <w:szCs w:val="21"/>
          <w:highlight w:val="none"/>
          <w:lang w:val="en-US" w:eastAsia="zh-CN"/>
        </w:rPr>
        <w:t>1.2元/</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eastAsia="zh-CN"/>
        </w:rPr>
        <w:t>、商铺</w:t>
      </w:r>
      <w:r>
        <w:rPr>
          <w:rFonts w:hint="eastAsia" w:ascii="宋体" w:hAnsi="宋体" w:eastAsia="宋体" w:cs="宋体"/>
          <w:color w:val="auto"/>
          <w:sz w:val="21"/>
          <w:szCs w:val="21"/>
          <w:highlight w:val="none"/>
          <w:lang w:val="en-US" w:eastAsia="zh-CN"/>
        </w:rPr>
        <w:t>2.7元/</w:t>
      </w:r>
      <w:r>
        <w:rPr>
          <w:rFonts w:hint="eastAsia" w:ascii="宋体" w:hAnsi="宋体" w:eastAsia="宋体" w:cs="宋体"/>
          <w:color w:val="auto"/>
          <w:sz w:val="21"/>
          <w:szCs w:val="21"/>
          <w:highlight w:val="none"/>
        </w:rPr>
        <w:t>㎡/月。</w:t>
      </w:r>
    </w:p>
    <w:p w14:paraId="313E72FF">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现有出租</w:t>
      </w:r>
      <w:r>
        <w:rPr>
          <w:rFonts w:hint="eastAsia" w:ascii="宋体" w:hAnsi="宋体" w:eastAsia="宋体" w:cs="宋体"/>
          <w:color w:val="auto"/>
          <w:sz w:val="21"/>
          <w:szCs w:val="21"/>
          <w:highlight w:val="none"/>
          <w:lang w:eastAsia="zh-CN"/>
        </w:rPr>
        <w:t>车位费</w:t>
      </w:r>
      <w:r>
        <w:rPr>
          <w:rFonts w:hint="eastAsia" w:ascii="宋体" w:hAnsi="宋体" w:eastAsia="宋体" w:cs="宋体"/>
          <w:color w:val="auto"/>
          <w:sz w:val="21"/>
          <w:szCs w:val="21"/>
          <w:highlight w:val="none"/>
        </w:rPr>
        <w:t>物业可收费约</w:t>
      </w:r>
      <w:r>
        <w:rPr>
          <w:rFonts w:hint="eastAsia" w:ascii="宋体" w:hAnsi="宋体" w:eastAsia="宋体" w:cs="宋体"/>
          <w:color w:val="auto"/>
          <w:sz w:val="21"/>
          <w:szCs w:val="21"/>
          <w:highlight w:val="none"/>
          <w:lang w:val="en-US" w:eastAsia="zh-CN"/>
        </w:rPr>
        <w:t>X辆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辆</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00</w:t>
      </w:r>
      <w:r>
        <w:rPr>
          <w:rFonts w:hint="eastAsia" w:ascii="宋体" w:hAnsi="宋体" w:eastAsia="宋体" w:cs="宋体"/>
          <w:color w:val="auto"/>
          <w:sz w:val="21"/>
          <w:szCs w:val="21"/>
          <w:highlight w:val="none"/>
        </w:rPr>
        <w:t>万元，由</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向租户收取。</w:t>
      </w:r>
    </w:p>
    <w:p w14:paraId="5815006C">
      <w:pPr>
        <w:pStyle w:val="20"/>
        <w:pageBreakBefore w:val="0"/>
        <w:kinsoku/>
        <w:wordWrap/>
        <w:overflowPunct/>
        <w:topLinePunct w:val="0"/>
        <w:bidi w:val="0"/>
        <w:spacing w:line="400" w:lineRule="exact"/>
        <w:ind w:left="0" w:leftChars="0" w:firstLine="422"/>
        <w:textAlignment w:val="auto"/>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eastAsia="zh-CN"/>
        </w:rPr>
        <w:t>（</w:t>
      </w:r>
      <w:r>
        <w:rPr>
          <w:rFonts w:hint="eastAsia" w:ascii="宋体" w:hAnsi="宋体" w:cs="宋体"/>
          <w:b w:val="0"/>
          <w:bCs/>
          <w:color w:val="auto"/>
          <w:sz w:val="21"/>
          <w:szCs w:val="21"/>
          <w:highlight w:val="none"/>
          <w:lang w:eastAsia="zh-CN"/>
        </w:rPr>
        <w:t>供应商</w:t>
      </w:r>
      <w:r>
        <w:rPr>
          <w:rFonts w:hint="eastAsia" w:ascii="宋体" w:hAnsi="宋体" w:eastAsia="宋体" w:cs="宋体"/>
          <w:b w:val="0"/>
          <w:bCs/>
          <w:color w:val="auto"/>
          <w:sz w:val="21"/>
          <w:szCs w:val="21"/>
          <w:highlight w:val="none"/>
        </w:rPr>
        <w:t>自行承担向租户催缴应收物业费之责任，扣除</w:t>
      </w:r>
      <w:r>
        <w:rPr>
          <w:rFonts w:hint="eastAsia" w:ascii="宋体" w:hAnsi="宋体" w:cs="宋体"/>
          <w:b w:val="0"/>
          <w:bCs/>
          <w:color w:val="auto"/>
          <w:sz w:val="21"/>
          <w:szCs w:val="21"/>
          <w:highlight w:val="none"/>
          <w:lang w:eastAsia="zh-CN"/>
        </w:rPr>
        <w:t>供应商</w:t>
      </w:r>
      <w:r>
        <w:rPr>
          <w:rFonts w:hint="eastAsia" w:ascii="宋体" w:hAnsi="宋体" w:eastAsia="宋体" w:cs="宋体"/>
          <w:b w:val="0"/>
          <w:bCs/>
          <w:color w:val="auto"/>
          <w:sz w:val="21"/>
          <w:szCs w:val="21"/>
          <w:highlight w:val="none"/>
        </w:rPr>
        <w:t>应收物业费后，由招标人补足与</w:t>
      </w:r>
      <w:r>
        <w:rPr>
          <w:rFonts w:hint="eastAsia" w:ascii="宋体" w:hAnsi="宋体" w:cs="宋体"/>
          <w:b w:val="0"/>
          <w:bCs/>
          <w:color w:val="auto"/>
          <w:sz w:val="21"/>
          <w:szCs w:val="21"/>
          <w:highlight w:val="none"/>
          <w:lang w:eastAsia="zh-CN"/>
        </w:rPr>
        <w:t>成交价</w:t>
      </w:r>
      <w:r>
        <w:rPr>
          <w:rFonts w:hint="eastAsia" w:ascii="宋体" w:hAnsi="宋体" w:eastAsia="宋体" w:cs="宋体"/>
          <w:b w:val="0"/>
          <w:bCs/>
          <w:color w:val="auto"/>
          <w:sz w:val="21"/>
          <w:szCs w:val="21"/>
          <w:highlight w:val="none"/>
        </w:rPr>
        <w:t>差额部分费用</w:t>
      </w:r>
      <w:r>
        <w:rPr>
          <w:rFonts w:hint="eastAsia" w:ascii="宋体" w:hAnsi="宋体" w:eastAsia="宋体" w:cs="宋体"/>
          <w:b w:val="0"/>
          <w:bCs/>
          <w:color w:val="auto"/>
          <w:sz w:val="21"/>
          <w:szCs w:val="21"/>
          <w:highlight w:val="none"/>
          <w:lang w:eastAsia="zh-CN"/>
        </w:rPr>
        <w:t>）</w:t>
      </w:r>
    </w:p>
    <w:p w14:paraId="69278DEE">
      <w:pPr>
        <w:rPr>
          <w:rFonts w:hint="eastAsia"/>
          <w:color w:val="auto"/>
          <w:highlight w:val="none"/>
          <w:lang w:val="en-US" w:eastAsia="zh-CN"/>
        </w:rPr>
      </w:pPr>
    </w:p>
    <w:p w14:paraId="4CEEA79E">
      <w:pPr>
        <w:rPr>
          <w:rFonts w:hint="default"/>
          <w:color w:val="auto"/>
          <w:highlight w:val="none"/>
          <w:lang w:val="en-US" w:eastAsia="zh-CN"/>
        </w:rPr>
      </w:pPr>
    </w:p>
    <w:tbl>
      <w:tblPr>
        <w:tblStyle w:val="21"/>
        <w:tblW w:w="9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026"/>
        <w:gridCol w:w="690"/>
        <w:gridCol w:w="6961"/>
        <w:gridCol w:w="44"/>
      </w:tblGrid>
      <w:tr w14:paraId="0B49A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dxa"/>
            <w:shd w:val="clear" w:color="auto" w:fill="auto"/>
          </w:tcPr>
          <w:p w14:paraId="72F24196">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序号</w:t>
            </w:r>
          </w:p>
        </w:tc>
        <w:tc>
          <w:tcPr>
            <w:tcW w:w="1026" w:type="dxa"/>
            <w:shd w:val="clear" w:color="auto" w:fill="auto"/>
          </w:tcPr>
          <w:p w14:paraId="52CAFE38">
            <w:pPr>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标的名称</w:t>
            </w:r>
          </w:p>
        </w:tc>
        <w:tc>
          <w:tcPr>
            <w:tcW w:w="690" w:type="dxa"/>
            <w:shd w:val="clear" w:color="auto" w:fill="auto"/>
          </w:tcPr>
          <w:p w14:paraId="50878562">
            <w:pPr>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数量</w:t>
            </w:r>
            <w:r>
              <w:rPr>
                <w:rFonts w:hint="eastAsia" w:ascii="宋体" w:hAnsi="宋体" w:eastAsia="宋体" w:cs="宋体"/>
                <w:bCs/>
                <w:color w:val="auto"/>
                <w:sz w:val="21"/>
                <w:szCs w:val="21"/>
                <w:highlight w:val="none"/>
                <w:lang w:val="en-US" w:eastAsia="zh-CN"/>
              </w:rPr>
              <w:t>/年</w:t>
            </w:r>
          </w:p>
        </w:tc>
        <w:tc>
          <w:tcPr>
            <w:tcW w:w="7005" w:type="dxa"/>
            <w:gridSpan w:val="2"/>
            <w:shd w:val="clear" w:color="auto" w:fill="auto"/>
          </w:tcPr>
          <w:p w14:paraId="7A14CEAC">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服务内容及要求</w:t>
            </w:r>
          </w:p>
        </w:tc>
      </w:tr>
      <w:tr w14:paraId="7E545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dxa"/>
            <w:shd w:val="clear" w:color="auto" w:fill="auto"/>
            <w:vAlign w:val="center"/>
          </w:tcPr>
          <w:p w14:paraId="23998BD7">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1026" w:type="dxa"/>
            <w:shd w:val="clear" w:color="auto" w:fill="auto"/>
            <w:vAlign w:val="center"/>
          </w:tcPr>
          <w:p w14:paraId="549677D8">
            <w:pPr>
              <w:spacing w:line="36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中泰崇左产业园棚户区改造项目ABC区物业管理服务</w:t>
            </w:r>
          </w:p>
        </w:tc>
        <w:tc>
          <w:tcPr>
            <w:tcW w:w="690" w:type="dxa"/>
            <w:shd w:val="clear" w:color="auto" w:fill="auto"/>
            <w:vAlign w:val="center"/>
          </w:tcPr>
          <w:p w14:paraId="2B8070E9">
            <w:pPr>
              <w:spacing w:line="360" w:lineRule="auto"/>
              <w:jc w:val="center"/>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1年</w:t>
            </w:r>
          </w:p>
        </w:tc>
        <w:tc>
          <w:tcPr>
            <w:tcW w:w="7005" w:type="dxa"/>
            <w:gridSpan w:val="2"/>
            <w:shd w:val="clear" w:color="auto" w:fill="auto"/>
          </w:tcPr>
          <w:p w14:paraId="79787382">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一、基本情况：</w:t>
            </w:r>
          </w:p>
          <w:p w14:paraId="45CDC64C">
            <w:pPr>
              <w:spacing w:line="360" w:lineRule="auto"/>
              <w:ind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lang w:eastAsia="zh-CN"/>
              </w:rPr>
              <w:t>中泰崇左产业园棚户区改造项目A区、B区、C区等</w:t>
            </w:r>
            <w:r>
              <w:rPr>
                <w:rFonts w:hint="eastAsia" w:ascii="宋体" w:hAnsi="宋体" w:eastAsia="宋体" w:cs="宋体"/>
                <w:b w:val="0"/>
                <w:bCs w:val="0"/>
                <w:color w:val="auto"/>
                <w:sz w:val="21"/>
                <w:szCs w:val="21"/>
                <w:highlight w:val="none"/>
              </w:rPr>
              <w:t>物业管理服务采购：</w:t>
            </w:r>
            <w:r>
              <w:rPr>
                <w:rFonts w:hint="eastAsia" w:ascii="宋体" w:hAnsi="宋体" w:eastAsia="宋体" w:cs="宋体"/>
                <w:color w:val="auto"/>
                <w:kern w:val="0"/>
                <w:sz w:val="21"/>
                <w:szCs w:val="21"/>
                <w:highlight w:val="none"/>
                <w:lang w:eastAsia="zh-CN"/>
              </w:rPr>
              <w:t>中泰崇左产业园棚户区改造项目</w:t>
            </w:r>
            <w:r>
              <w:rPr>
                <w:rFonts w:hint="eastAsia" w:ascii="宋体" w:hAnsi="宋体" w:eastAsia="宋体" w:cs="宋体"/>
                <w:color w:val="auto"/>
                <w:kern w:val="0"/>
                <w:sz w:val="21"/>
                <w:szCs w:val="21"/>
                <w:highlight w:val="none"/>
                <w:lang w:val="en-US" w:eastAsia="zh-CN"/>
              </w:rPr>
              <w:t>ABC区总建筑面积641231.77</w:t>
            </w:r>
            <w:r>
              <w:rPr>
                <w:rFonts w:hint="eastAsia" w:ascii="宋体" w:hAnsi="宋体" w:eastAsia="宋体" w:cs="宋体"/>
                <w:b w:val="0"/>
                <w:bCs w:val="0"/>
                <w:color w:val="auto"/>
                <w:sz w:val="21"/>
                <w:szCs w:val="21"/>
                <w:highlight w:val="none"/>
              </w:rPr>
              <w:t>㎡</w:t>
            </w:r>
            <w:r>
              <w:rPr>
                <w:rFonts w:hint="eastAsia" w:ascii="宋体" w:hAnsi="宋体" w:eastAsia="宋体" w:cs="宋体"/>
                <w:color w:val="auto"/>
                <w:kern w:val="0"/>
                <w:sz w:val="21"/>
                <w:szCs w:val="21"/>
                <w:highlight w:val="none"/>
                <w:lang w:val="en-US" w:eastAsia="zh-CN"/>
              </w:rPr>
              <w:t>;现住户</w:t>
            </w:r>
            <w:r>
              <w:rPr>
                <w:rFonts w:hint="eastAsia" w:ascii="宋体" w:hAnsi="宋体" w:eastAsia="宋体" w:cs="宋体"/>
                <w:b w:val="0"/>
                <w:bCs w:val="0"/>
                <w:color w:val="auto"/>
                <w:sz w:val="21"/>
                <w:szCs w:val="21"/>
                <w:highlight w:val="none"/>
              </w:rPr>
              <w:t>总建筑面积</w:t>
            </w:r>
            <w:r>
              <w:rPr>
                <w:rFonts w:hint="eastAsia" w:ascii="宋体" w:hAnsi="宋体" w:eastAsia="宋体" w:cs="宋体"/>
                <w:b w:val="0"/>
                <w:bCs w:val="0"/>
                <w:color w:val="auto"/>
                <w:sz w:val="21"/>
                <w:szCs w:val="21"/>
                <w:highlight w:val="none"/>
                <w:lang w:val="en-US" w:eastAsia="zh-CN"/>
              </w:rPr>
              <w:t>70418.71</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color w:val="auto"/>
                <w:sz w:val="21"/>
                <w:szCs w:val="21"/>
                <w:highlight w:val="none"/>
              </w:rPr>
              <w:t>各小区车库及车位</w:t>
            </w:r>
            <w:r>
              <w:rPr>
                <w:rFonts w:hint="eastAsia" w:ascii="宋体" w:hAnsi="宋体" w:eastAsia="宋体" w:cs="宋体"/>
                <w:b/>
                <w:color w:val="auto"/>
                <w:sz w:val="21"/>
                <w:szCs w:val="21"/>
                <w:highlight w:val="none"/>
                <w:lang w:eastAsia="zh-CN"/>
              </w:rPr>
              <w:t>按</w:t>
            </w:r>
            <w:r>
              <w:rPr>
                <w:rFonts w:hint="eastAsia" w:ascii="宋体" w:hAnsi="宋体" w:eastAsia="宋体" w:cs="宋体"/>
                <w:b/>
                <w:color w:val="auto"/>
                <w:sz w:val="21"/>
                <w:szCs w:val="21"/>
                <w:highlight w:val="none"/>
                <w:lang w:val="en-US" w:eastAsia="zh-CN"/>
              </w:rPr>
              <w:t>50元/月/辆</w:t>
            </w:r>
            <w:r>
              <w:rPr>
                <w:rFonts w:hint="eastAsia" w:ascii="宋体" w:hAnsi="宋体" w:eastAsia="宋体" w:cs="宋体"/>
                <w:b/>
                <w:color w:val="auto"/>
                <w:sz w:val="21"/>
                <w:szCs w:val="21"/>
                <w:highlight w:val="none"/>
              </w:rPr>
              <w:t>收费</w:t>
            </w:r>
            <w:r>
              <w:rPr>
                <w:rFonts w:hint="eastAsia" w:ascii="宋体" w:hAnsi="宋体" w:eastAsia="宋体" w:cs="宋体"/>
                <w:bCs/>
                <w:color w:val="auto"/>
                <w:sz w:val="21"/>
                <w:szCs w:val="21"/>
                <w:highlight w:val="none"/>
              </w:rPr>
              <w:t>。</w:t>
            </w:r>
          </w:p>
          <w:p w14:paraId="023D1D97">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二、委托管理服务内容及相关要求</w:t>
            </w:r>
          </w:p>
          <w:p w14:paraId="5385EC3F">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（一）综合服务</w:t>
            </w:r>
          </w:p>
          <w:p w14:paraId="141E690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接待服务</w:t>
            </w:r>
          </w:p>
          <w:p w14:paraId="37DA94C7">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（1）设置接待服务中心，提供接待来访服务。</w:t>
            </w:r>
          </w:p>
          <w:p w14:paraId="6F65F238">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（2）接待投诉，有效投诉处理率达100%。</w:t>
            </w:r>
          </w:p>
          <w:p w14:paraId="71496EBF">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（3）受理并统计急修、中、小修预约及维修服务。</w:t>
            </w:r>
          </w:p>
          <w:p w14:paraId="6992C7D8">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（4）服务回访率90%以上，不足改进率100%。</w:t>
            </w:r>
          </w:p>
          <w:p w14:paraId="6392375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2、档案资料管理：建立完善高效的管理体系，资料、信息完整、保密，方便查找。</w:t>
            </w:r>
          </w:p>
          <w:p w14:paraId="021BAEA3">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3、宣传服务：协助业主布置宣传栏、横幅、标语、彩旗、花卉等。</w:t>
            </w:r>
          </w:p>
          <w:p w14:paraId="122BEDF2">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4、负责安排业主交办的与物业管理有关的事项，并检查督促该事项的落实。</w:t>
            </w:r>
          </w:p>
          <w:p w14:paraId="477A0388">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（二）安全管理</w:t>
            </w:r>
          </w:p>
          <w:p w14:paraId="7219C8E2">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1．在物业管理区域设置警戒线和警示标志。</w:t>
            </w:r>
          </w:p>
          <w:p w14:paraId="3A27C47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2．在出入口设置24小时安全员值勤，对进出的人员、物品进行检查，大件物品的运出凭业主证明放行，未经业主许可，严禁废旧收购、家电修理、推销等无关人员进入物业管理区域。</w:t>
            </w:r>
          </w:p>
          <w:p w14:paraId="0023ABD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3．对物业管理区域进行安全巡查，每日巡查不少于4次，重点部位每小时巡查一次，及时发现和处置可疑情况。</w:t>
            </w:r>
          </w:p>
          <w:p w14:paraId="7FAF320B">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4．对消防、公共安全、公共卫生等方面的突发事件有应急预案，遇突发事件及时报告和有效控制事态的发展，积极协助有关部门处置。</w:t>
            </w:r>
          </w:p>
          <w:p w14:paraId="15066389">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5．组建义务消防组，配合当地消防队工作；义务消防组定期操练（每年2次），开展消防宣传。</w:t>
            </w:r>
          </w:p>
          <w:p w14:paraId="2982BC8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6．年内无重大治安、消防事故的发生。</w:t>
            </w:r>
          </w:p>
          <w:p w14:paraId="77230094">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（三）公共秩序管理</w:t>
            </w:r>
          </w:p>
          <w:p w14:paraId="00BA20F4">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1．对进入物业管理区域的人员实行实名登记管理。</w:t>
            </w:r>
          </w:p>
          <w:p w14:paraId="46753F7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2．对进出物业管理区域的车辆实行出入验证和行驶引导，指挥车辆整齐停放。</w:t>
            </w:r>
          </w:p>
          <w:p w14:paraId="4381C4A4">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3．负责车辆保管，防止车辆的丢失、损坏。</w:t>
            </w:r>
          </w:p>
          <w:p w14:paraId="06B9F9C4">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（四）房屋及设备基础设施的维护、保养</w:t>
            </w:r>
          </w:p>
          <w:p w14:paraId="4C9A5FAE">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1．房屋及设备设施完好，标志、标识齐全、规范，设施设备运转正常，无事故隐患。</w:t>
            </w:r>
          </w:p>
          <w:p w14:paraId="035F66D3">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2．维修养护制度健全，编制维修养护计划，并在工作场所明示，定期检查、保养，建立检查、维修、保养的台帐，记录齐全。</w:t>
            </w:r>
          </w:p>
          <w:p w14:paraId="1311898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3．对于房屋、设备设施的损坏或故障，属于小修范围的，24小时内组织修复；属于大、中修范围的，及时向业主报告和提出维修建议或方案。</w:t>
            </w:r>
          </w:p>
          <w:p w14:paraId="24238EBE">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小</w:t>
            </w:r>
            <w:r>
              <w:rPr>
                <w:rFonts w:hint="eastAsia" w:ascii="宋体" w:hAnsi="宋体" w:eastAsia="宋体" w:cs="宋体"/>
                <w:color w:val="auto"/>
                <w:sz w:val="21"/>
                <w:szCs w:val="21"/>
                <w:highlight w:val="none"/>
              </w:rPr>
              <w:t>区道路平整，主要道路及停车场交通标志齐全、规范。</w:t>
            </w:r>
          </w:p>
          <w:p w14:paraId="4F3E8A3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5．每天至少1次检查路灯、楼道灯、景观灯等照明设施，完好率达95%以上，按约定时间开关。</w:t>
            </w:r>
          </w:p>
          <w:p w14:paraId="239DE0FE">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6．设备用房整洁、通风，无跑、冒、滴、漏和鼠害现象，危及人身安全隐患处有明显标志和防范措施。</w:t>
            </w:r>
          </w:p>
          <w:p w14:paraId="7F92CE3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7．对可能发生的各种设备故障及重大或突发性事件有应急方案和现场处理措施、处理记录。</w:t>
            </w:r>
          </w:p>
          <w:p w14:paraId="3D40983B">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8．消防设施设备完好，可随时启用，消防通道畅通；有健全的消防管理制度，建立消防责任制及火灾消防预案。</w:t>
            </w:r>
          </w:p>
          <w:p w14:paraId="15264E44">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9．雨水井、化粪池每月检查1次，根据需要定期清理疏通，保持通畅，无堵塞外溢。</w:t>
            </w:r>
          </w:p>
          <w:p w14:paraId="3B1BC95A">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10．接到相关部门停水、停电通知，应在办公区醒目处提前通知。</w:t>
            </w:r>
          </w:p>
          <w:p w14:paraId="5FBC03E6">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（备注：空调、消防设施的日常维修及养护不在此次物业服务范围内）</w:t>
            </w:r>
          </w:p>
          <w:p w14:paraId="6BE603AA">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（五）清洁保洁</w:t>
            </w:r>
          </w:p>
          <w:p w14:paraId="2660ABEB">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1．根据</w:t>
            </w:r>
            <w:r>
              <w:rPr>
                <w:rFonts w:hint="eastAsia" w:ascii="宋体" w:hAnsi="宋体" w:eastAsia="宋体" w:cs="宋体"/>
                <w:color w:val="auto"/>
                <w:sz w:val="21"/>
                <w:szCs w:val="21"/>
                <w:highlight w:val="none"/>
                <w:lang w:eastAsia="zh-CN"/>
              </w:rPr>
              <w:t>小</w:t>
            </w:r>
            <w:r>
              <w:rPr>
                <w:rFonts w:hint="eastAsia" w:ascii="宋体" w:hAnsi="宋体" w:eastAsia="宋体" w:cs="宋体"/>
                <w:color w:val="auto"/>
                <w:sz w:val="21"/>
                <w:szCs w:val="21"/>
                <w:highlight w:val="none"/>
              </w:rPr>
              <w:t>区实际情况合理布设垃圾箱（桶）。垃圾清运日产日清，无垃圾桶、果皮箱满溢现象，每天清洗1次，保持垃圾设施清洁、无异味；垃圾收集点周围无散落垃圾、无污迹、无异味。</w:t>
            </w:r>
          </w:p>
          <w:p w14:paraId="66E8E37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2．有健全的保洁制度并上墙张贴，</w:t>
            </w:r>
            <w:r>
              <w:rPr>
                <w:rFonts w:hint="eastAsia" w:ascii="宋体" w:hAnsi="宋体" w:eastAsia="宋体" w:cs="宋体"/>
                <w:color w:val="auto"/>
                <w:sz w:val="21"/>
                <w:szCs w:val="21"/>
                <w:highlight w:val="none"/>
                <w:lang w:eastAsia="zh-CN"/>
              </w:rPr>
              <w:t>小</w:t>
            </w:r>
            <w:r>
              <w:rPr>
                <w:rFonts w:hint="eastAsia" w:ascii="宋体" w:hAnsi="宋体" w:eastAsia="宋体" w:cs="宋体"/>
                <w:color w:val="auto"/>
                <w:sz w:val="21"/>
                <w:szCs w:val="21"/>
                <w:highlight w:val="none"/>
              </w:rPr>
              <w:t>区道路、各楼层走廊、活动</w:t>
            </w:r>
            <w:r>
              <w:rPr>
                <w:rFonts w:hint="eastAsia" w:ascii="宋体" w:hAnsi="宋体" w:eastAsia="宋体" w:cs="宋体"/>
                <w:color w:val="auto"/>
                <w:sz w:val="21"/>
                <w:szCs w:val="21"/>
                <w:highlight w:val="none"/>
                <w:lang w:eastAsia="zh-CN"/>
              </w:rPr>
              <w:t>场所</w:t>
            </w:r>
            <w:r>
              <w:rPr>
                <w:rFonts w:hint="eastAsia" w:ascii="宋体" w:hAnsi="宋体" w:eastAsia="宋体" w:cs="宋体"/>
                <w:color w:val="auto"/>
                <w:sz w:val="21"/>
                <w:szCs w:val="21"/>
                <w:highlight w:val="none"/>
              </w:rPr>
              <w:t>、绿地等公共区域设专人保洁，每天上下午分2次在上班之前对路面进行全面清扫完毕，然后巡回保洁；卫生间每天清洁2次；楼道走道、屋面</w:t>
            </w:r>
            <w:r>
              <w:rPr>
                <w:rFonts w:hint="eastAsia" w:ascii="宋体" w:hAnsi="宋体" w:cs="宋体"/>
                <w:color w:val="auto"/>
                <w:sz w:val="21"/>
                <w:szCs w:val="21"/>
                <w:highlight w:val="none"/>
                <w:lang w:eastAsia="zh-CN"/>
              </w:rPr>
              <w:t>季度</w:t>
            </w:r>
            <w:r>
              <w:rPr>
                <w:rFonts w:hint="eastAsia" w:ascii="宋体" w:hAnsi="宋体" w:eastAsia="宋体" w:cs="宋体"/>
                <w:color w:val="auto"/>
                <w:sz w:val="21"/>
                <w:szCs w:val="21"/>
                <w:highlight w:val="none"/>
              </w:rPr>
              <w:t>清洁1次；</w:t>
            </w:r>
            <w:r>
              <w:rPr>
                <w:rFonts w:hint="eastAsia" w:ascii="宋体" w:hAnsi="宋体" w:cs="宋体"/>
                <w:color w:val="auto"/>
                <w:sz w:val="21"/>
                <w:szCs w:val="21"/>
                <w:highlight w:val="none"/>
                <w:lang w:eastAsia="zh-CN"/>
              </w:rPr>
              <w:t>公共</w:t>
            </w:r>
            <w:r>
              <w:rPr>
                <w:rFonts w:hint="eastAsia" w:ascii="宋体" w:hAnsi="宋体" w:eastAsia="宋体" w:cs="宋体"/>
                <w:color w:val="auto"/>
                <w:sz w:val="21"/>
                <w:szCs w:val="21"/>
                <w:highlight w:val="none"/>
              </w:rPr>
              <w:t>楼梯扶手每日擦拭1次；玻璃每周清洁1次；室外标识、宣传栏、信报箱等共用部位设施设备每周擦拭2次；路灯、楼道灯每月清洁1次。</w:t>
            </w:r>
          </w:p>
          <w:p w14:paraId="0459B025">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．下水道、水沟每天清理1次；共用雨、污水管道每年疏通1次；雨水井、化粪池、污水井每月检查1次，视检查情况及时清掏，保持通畅，无堵塞外溢；化粪池每半年清掏1次，发现异常及时清掏。</w:t>
            </w:r>
          </w:p>
          <w:p w14:paraId="3180692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．进行保洁巡查，楼道内无乱悬挂、乱贴乱画、乱堆放，无明显暴露垃圾、卫生死角等现象，保证办公区内干净整洁。</w:t>
            </w:r>
          </w:p>
          <w:p w14:paraId="0D7FA3CB">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．建立消杀工作管理制度，根据</w:t>
            </w:r>
            <w:r>
              <w:rPr>
                <w:rFonts w:hint="eastAsia" w:ascii="宋体" w:hAnsi="宋体" w:cs="宋体"/>
                <w:color w:val="auto"/>
                <w:sz w:val="21"/>
                <w:szCs w:val="21"/>
                <w:highlight w:val="none"/>
                <w:lang w:eastAsia="zh-CN"/>
              </w:rPr>
              <w:t>小</w:t>
            </w:r>
            <w:r>
              <w:rPr>
                <w:rFonts w:hint="eastAsia" w:ascii="宋体" w:hAnsi="宋体" w:eastAsia="宋体" w:cs="宋体"/>
                <w:color w:val="auto"/>
                <w:sz w:val="21"/>
                <w:szCs w:val="21"/>
                <w:highlight w:val="none"/>
              </w:rPr>
              <w:t>区实际情况开展消毒和灭虫除害工作，每季度投放一次消杀药物，有效控制鼠、蟑、蚊、蝇等害虫孳生。</w:t>
            </w:r>
          </w:p>
          <w:p w14:paraId="4F1B34E3">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（六）绿化养护</w:t>
            </w:r>
          </w:p>
          <w:p w14:paraId="1A2ACE89">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1．有专业人员实施绿化养护管理。</w:t>
            </w:r>
          </w:p>
          <w:p w14:paraId="0C774EB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根据气候状况和季节，适时组织浇灌，每季施肥和松土1次，使花草树木生长良好，无明显桔枝，无死枝，无虫屎虫网；适时修剪、疏密得当，有良好的观赏效果；树形符合自然特征，整形植物树冠完整、主侧枝分布均因，保持一定形状，发现死树在一周内清除，并适时补种。</w:t>
            </w:r>
          </w:p>
          <w:p w14:paraId="4D7E54A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3．草坪生长整齐，及时清除杂草，有效控制杂草孳生；花坛内无垃圾、无烟头纸屑。</w:t>
            </w:r>
          </w:p>
          <w:p w14:paraId="40C9FC5A">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4．绿篱枝叶较茂密，适时进行修剪，无死枝枯叶及杂物，当天清除修剪废弃物。</w:t>
            </w:r>
          </w:p>
          <w:p w14:paraId="54E58F4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5．适时组织防冻保暖，定期喷洒药物，预防病虫害，无明显病虫害迹象。喷洒杀虫药时及时通知干部职工，并尽量避开正常上班时间。</w:t>
            </w:r>
          </w:p>
          <w:p w14:paraId="5C7CB6FE">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w:t>
            </w:r>
            <w:r>
              <w:rPr>
                <w:rFonts w:hint="eastAsia" w:ascii="宋体" w:hAnsi="宋体" w:cs="宋体"/>
                <w:b/>
                <w:color w:val="auto"/>
                <w:sz w:val="21"/>
                <w:szCs w:val="21"/>
                <w:highlight w:val="none"/>
                <w:lang w:eastAsia="zh-CN"/>
              </w:rPr>
              <w:t>七</w:t>
            </w:r>
            <w:r>
              <w:rPr>
                <w:rFonts w:hint="eastAsia" w:ascii="宋体" w:hAnsi="宋体" w:eastAsia="宋体" w:cs="宋体"/>
                <w:b/>
                <w:color w:val="auto"/>
                <w:sz w:val="21"/>
                <w:szCs w:val="21"/>
                <w:highlight w:val="none"/>
              </w:rPr>
              <w:t>）其他服务内容</w:t>
            </w:r>
          </w:p>
          <w:p w14:paraId="3F5E4E18">
            <w:pPr>
              <w:pageBreakBefore w:val="0"/>
              <w:kinsoku/>
              <w:wordWrap/>
              <w:overflowPunct/>
              <w:topLinePunct w:val="0"/>
              <w:bidi w:val="0"/>
              <w:spacing w:line="400" w:lineRule="exact"/>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在签订物业管理合同之日起7日内接手进驻并逐步进行移交工作，3日内工作移交完毕，进入正常物业管理工作。</w:t>
            </w:r>
          </w:p>
          <w:p w14:paraId="285744A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2．定期每季度过后5个工作日内向业主汇报物业管理总体情况。</w:t>
            </w:r>
          </w:p>
          <w:p w14:paraId="25F8C4F0">
            <w:pPr>
              <w:pageBreakBefore w:val="0"/>
              <w:kinsoku/>
              <w:wordWrap/>
              <w:overflowPunct/>
              <w:topLinePunct w:val="0"/>
              <w:bidi w:val="0"/>
              <w:spacing w:line="400" w:lineRule="exact"/>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3．不得擅自占用和改变公用设施的使用功能，如需完善或扩建，须与甲方协商，经甲方同意后方可实施。</w:t>
            </w:r>
          </w:p>
          <w:p w14:paraId="79552BE5">
            <w:pPr>
              <w:pageBreakBefore w:val="0"/>
              <w:kinsoku/>
              <w:wordWrap/>
              <w:overflowPunct/>
              <w:topLinePunct w:val="0"/>
              <w:bidi w:val="0"/>
              <w:spacing w:line="400" w:lineRule="exact"/>
              <w:ind w:firstLine="411" w:firstLineChars="196"/>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四、物业管理服务考核标准</w:t>
            </w:r>
          </w:p>
          <w:p w14:paraId="2917E736">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（一）房屋外观：</w:t>
            </w:r>
          </w:p>
          <w:p w14:paraId="7837A56D">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外观完好、整洁，外墙装饰无脱落、无污迹、无乱搭乱建、公共设施无随意占用。</w:t>
            </w:r>
          </w:p>
          <w:p w14:paraId="4657E842">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（二）设备运行：</w:t>
            </w:r>
          </w:p>
          <w:p w14:paraId="3FA08CE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1．保证水、电等设备运行正常、无事故隐患。</w:t>
            </w:r>
          </w:p>
          <w:p w14:paraId="73DE05D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2．预防故障和养护及管理到位。</w:t>
            </w:r>
          </w:p>
          <w:p w14:paraId="43A4A5B3">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（三）房屋及设施、设备的维修、养护：</w:t>
            </w:r>
          </w:p>
          <w:p w14:paraId="62D60BA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1．建立共用部位共用设施设备养护管理制度。</w:t>
            </w:r>
          </w:p>
          <w:p w14:paraId="332025B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2．保证房屋共用部位、共用设施设备完好，无随意改变用途现象。</w:t>
            </w:r>
          </w:p>
          <w:p w14:paraId="3FB872FE">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（四）公共环境：</w:t>
            </w:r>
          </w:p>
          <w:p w14:paraId="56208FEA">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1．卫生达到国家爱卫办优等标准。</w:t>
            </w:r>
          </w:p>
          <w:p w14:paraId="3D20060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2．垃圾日产日清，定期进行卫生消毒灭菌以及除“四害”。</w:t>
            </w:r>
          </w:p>
          <w:p w14:paraId="5CB97162">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3．公共场地保持清洁，无纸屑、烟头等废弃物。</w:t>
            </w:r>
          </w:p>
          <w:p w14:paraId="47C333F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4．每</w:t>
            </w:r>
            <w:r>
              <w:rPr>
                <w:rFonts w:hint="eastAsia" w:ascii="宋体" w:hAnsi="宋体" w:cs="宋体"/>
                <w:color w:val="auto"/>
                <w:sz w:val="21"/>
                <w:szCs w:val="21"/>
                <w:highlight w:val="none"/>
                <w:lang w:eastAsia="zh-CN"/>
              </w:rPr>
              <w:t>季度</w:t>
            </w:r>
            <w:r>
              <w:rPr>
                <w:rFonts w:hint="eastAsia" w:ascii="宋体" w:hAnsi="宋体" w:eastAsia="宋体" w:cs="宋体"/>
                <w:color w:val="auto"/>
                <w:sz w:val="21"/>
                <w:szCs w:val="21"/>
                <w:highlight w:val="none"/>
              </w:rPr>
              <w:t>定期对所辖物业进行虫害的杀除工作。</w:t>
            </w:r>
          </w:p>
          <w:p w14:paraId="118D56A1">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（五）园林及绿化：</w:t>
            </w:r>
          </w:p>
          <w:p w14:paraId="21E770E3">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1．绿地无改变使用用途和破坏、践踏、占用现象。</w:t>
            </w:r>
          </w:p>
          <w:p w14:paraId="04489F49">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2．园林设施完好整洁，绿化物常绿常新，花草树林长势良好、无病虫害、无枯死。</w:t>
            </w:r>
          </w:p>
          <w:p w14:paraId="4D6D9966">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（六）交通秩序：</w:t>
            </w:r>
          </w:p>
          <w:p w14:paraId="4D852409">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1．车辆进出有序；“门前三包”达到有关部门的要求。</w:t>
            </w:r>
          </w:p>
          <w:p w14:paraId="1888BFD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2．道路畅通、车辆停放有序。</w:t>
            </w:r>
          </w:p>
          <w:p w14:paraId="514EFA3E">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（七）治安：</w:t>
            </w:r>
          </w:p>
          <w:p w14:paraId="22EF7753">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24小时值班巡逻，无失窃、被盗、被劫及打架斗殴、火灾事件发生，公共秩序良好。</w:t>
            </w:r>
          </w:p>
          <w:p w14:paraId="4B36EE97">
            <w:pPr>
              <w:pageBreakBefore w:val="0"/>
              <w:kinsoku/>
              <w:wordWrap/>
              <w:overflowPunct/>
              <w:topLinePunct w:val="0"/>
              <w:bidi w:val="0"/>
              <w:spacing w:line="400" w:lineRule="exact"/>
              <w:ind w:firstLine="413" w:firstLineChars="196"/>
              <w:textAlignment w:val="auto"/>
              <w:rPr>
                <w:rFonts w:hint="eastAsia" w:ascii="宋体" w:hAnsi="宋体" w:eastAsia="宋体" w:cs="宋体"/>
                <w:b w:val="0"/>
                <w:bCs/>
                <w:color w:val="auto"/>
                <w:sz w:val="21"/>
                <w:szCs w:val="21"/>
                <w:highlight w:val="none"/>
              </w:rPr>
            </w:pPr>
            <w:r>
              <w:rPr>
                <w:rFonts w:hint="eastAsia" w:ascii="宋体" w:hAnsi="宋体" w:eastAsia="宋体" w:cs="宋体"/>
                <w:b/>
                <w:color w:val="auto"/>
                <w:sz w:val="21"/>
                <w:szCs w:val="21"/>
                <w:highlight w:val="none"/>
              </w:rPr>
              <w:t>（八）</w:t>
            </w:r>
            <w:r>
              <w:rPr>
                <w:rFonts w:hint="eastAsia" w:ascii="宋体" w:hAnsi="宋体" w:eastAsia="宋体" w:cs="宋体"/>
                <w:b w:val="0"/>
                <w:bCs/>
                <w:color w:val="auto"/>
                <w:sz w:val="21"/>
                <w:szCs w:val="21"/>
                <w:highlight w:val="none"/>
              </w:rPr>
              <w:t>各项工作须有应急预案并上墙，开展经常性的培训，有专人负责；急修要求五分钟内到位，小修要求30分钟内到位。</w:t>
            </w:r>
          </w:p>
          <w:p w14:paraId="301C4AA3">
            <w:pPr>
              <w:pageBreakBefore w:val="0"/>
              <w:kinsoku/>
              <w:wordWrap/>
              <w:overflowPunct/>
              <w:topLinePunct w:val="0"/>
              <w:bidi w:val="0"/>
              <w:spacing w:line="400" w:lineRule="exact"/>
              <w:ind w:firstLine="413" w:firstLineChars="196"/>
              <w:textAlignment w:val="auto"/>
              <w:rPr>
                <w:rFonts w:hint="eastAsia" w:ascii="宋体" w:hAnsi="宋体" w:eastAsia="宋体" w:cs="宋体"/>
                <w:b w:val="0"/>
                <w:bCs/>
                <w:color w:val="auto"/>
                <w:sz w:val="21"/>
                <w:szCs w:val="21"/>
                <w:highlight w:val="none"/>
              </w:rPr>
            </w:pPr>
            <w:r>
              <w:rPr>
                <w:rFonts w:hint="eastAsia" w:ascii="宋体" w:hAnsi="宋体" w:eastAsia="宋体" w:cs="宋体"/>
                <w:b/>
                <w:color w:val="auto"/>
                <w:sz w:val="21"/>
                <w:szCs w:val="21"/>
                <w:highlight w:val="none"/>
              </w:rPr>
              <w:t>（九）</w:t>
            </w:r>
            <w:r>
              <w:rPr>
                <w:rFonts w:hint="eastAsia" w:ascii="宋体" w:hAnsi="宋体" w:eastAsia="宋体" w:cs="宋体"/>
                <w:b w:val="0"/>
                <w:bCs/>
                <w:color w:val="auto"/>
                <w:sz w:val="21"/>
                <w:szCs w:val="21"/>
                <w:highlight w:val="none"/>
              </w:rPr>
              <w:t>物业管理制度健全，管理落实到位。</w:t>
            </w:r>
          </w:p>
          <w:p w14:paraId="7975CF15">
            <w:pPr>
              <w:pageBreakBefore w:val="0"/>
              <w:kinsoku/>
              <w:wordWrap/>
              <w:overflowPunct/>
              <w:topLinePunct w:val="0"/>
              <w:bidi w:val="0"/>
              <w:spacing w:line="400" w:lineRule="exact"/>
              <w:ind w:firstLine="413" w:firstLineChars="196"/>
              <w:textAlignment w:val="auto"/>
              <w:rPr>
                <w:rFonts w:hint="eastAsia" w:ascii="宋体" w:hAnsi="宋体" w:eastAsia="宋体" w:cs="宋体"/>
                <w:b w:val="0"/>
                <w:bCs/>
                <w:color w:val="auto"/>
                <w:sz w:val="21"/>
                <w:szCs w:val="21"/>
                <w:highlight w:val="none"/>
              </w:rPr>
            </w:pPr>
            <w:r>
              <w:rPr>
                <w:rFonts w:hint="eastAsia" w:ascii="宋体" w:hAnsi="宋体" w:eastAsia="宋体" w:cs="宋体"/>
                <w:b/>
                <w:color w:val="auto"/>
                <w:sz w:val="21"/>
                <w:szCs w:val="21"/>
                <w:highlight w:val="none"/>
              </w:rPr>
              <w:t>（十）</w:t>
            </w:r>
            <w:r>
              <w:rPr>
                <w:rFonts w:hint="eastAsia" w:ascii="宋体" w:hAnsi="宋体" w:eastAsia="宋体" w:cs="宋体"/>
                <w:b w:val="0"/>
                <w:bCs/>
                <w:color w:val="auto"/>
                <w:sz w:val="21"/>
                <w:szCs w:val="21"/>
                <w:highlight w:val="none"/>
              </w:rPr>
              <w:t>业主满意率达到90％以上。</w:t>
            </w:r>
          </w:p>
          <w:p w14:paraId="1A9FCC5D">
            <w:pPr>
              <w:pageBreakBefore w:val="0"/>
              <w:kinsoku/>
              <w:wordWrap/>
              <w:overflowPunct/>
              <w:topLinePunct w:val="0"/>
              <w:bidi w:val="0"/>
              <w:spacing w:line="400" w:lineRule="exact"/>
              <w:ind w:firstLine="411" w:firstLineChars="196"/>
              <w:textAlignment w:val="auto"/>
              <w:rPr>
                <w:rFonts w:hint="eastAsia" w:ascii="宋体" w:hAnsi="宋体" w:eastAsia="宋体" w:cs="宋体"/>
                <w:b w:val="0"/>
                <w:bCs/>
                <w:color w:val="auto"/>
                <w:sz w:val="21"/>
                <w:szCs w:val="21"/>
                <w:highlight w:val="none"/>
              </w:rPr>
            </w:pPr>
          </w:p>
          <w:p w14:paraId="32CE8350">
            <w:pPr>
              <w:pageBreakBefore w:val="0"/>
              <w:kinsoku/>
              <w:wordWrap/>
              <w:overflowPunct/>
              <w:topLinePunct w:val="0"/>
              <w:bidi w:val="0"/>
              <w:spacing w:line="400" w:lineRule="exact"/>
              <w:ind w:firstLine="449" w:firstLineChars="214"/>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五、物业管理人员最低配置及素质要求</w:t>
            </w:r>
          </w:p>
          <w:p w14:paraId="07021033">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（一）人员最低配置数额</w:t>
            </w:r>
            <w:r>
              <w:rPr>
                <w:rFonts w:hint="eastAsia" w:ascii="宋体" w:hAnsi="宋体" w:cs="宋体"/>
                <w:b/>
                <w:color w:val="auto"/>
                <w:sz w:val="21"/>
                <w:szCs w:val="21"/>
                <w:highlight w:val="none"/>
                <w:lang w:eastAsia="zh-CN"/>
              </w:rPr>
              <w:t>。</w:t>
            </w:r>
          </w:p>
          <w:p w14:paraId="57B47F1A">
            <w:pPr>
              <w:pageBreakBefore w:val="0"/>
              <w:kinsoku/>
              <w:wordWrap/>
              <w:overflowPunct/>
              <w:topLinePunct w:val="0"/>
              <w:bidi w:val="0"/>
              <w:spacing w:line="400" w:lineRule="exact"/>
              <w:ind w:firstLine="1054" w:firstLineChars="5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 xml:space="preserve"> 1.</w:t>
            </w:r>
            <w:r>
              <w:rPr>
                <w:rFonts w:hint="eastAsia" w:ascii="宋体" w:hAnsi="宋体" w:eastAsia="宋体" w:cs="宋体"/>
                <w:b/>
                <w:bCs/>
                <w:color w:val="auto"/>
                <w:sz w:val="21"/>
                <w:szCs w:val="21"/>
                <w:highlight w:val="none"/>
                <w:lang w:val="en-US" w:eastAsia="zh-CN"/>
              </w:rPr>
              <w:t>A区（</w:t>
            </w:r>
            <w:r>
              <w:rPr>
                <w:rFonts w:hint="eastAsia" w:ascii="宋体" w:hAnsi="宋体" w:eastAsia="宋体" w:cs="宋体"/>
                <w:b/>
                <w:bCs/>
                <w:color w:val="auto"/>
                <w:sz w:val="21"/>
                <w:szCs w:val="21"/>
                <w:highlight w:val="none"/>
                <w:lang w:eastAsia="zh-CN"/>
              </w:rPr>
              <w:t>梧桐水岸）小区</w:t>
            </w:r>
            <w:r>
              <w:rPr>
                <w:rFonts w:hint="eastAsia" w:ascii="宋体" w:hAnsi="宋体" w:eastAsia="宋体" w:cs="宋体"/>
                <w:b/>
                <w:bCs/>
                <w:color w:val="auto"/>
                <w:sz w:val="21"/>
                <w:szCs w:val="21"/>
                <w:highlight w:val="none"/>
              </w:rPr>
              <w:t>物业服务项目人员配置表</w:t>
            </w:r>
          </w:p>
          <w:tbl>
            <w:tblPr>
              <w:tblStyle w:val="2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3050"/>
              <w:gridCol w:w="3187"/>
            </w:tblGrid>
            <w:tr w14:paraId="35F52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79D1E00A">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050" w:type="dxa"/>
                  <w:tcBorders>
                    <w:top w:val="single" w:color="auto" w:sz="4" w:space="0"/>
                    <w:left w:val="single" w:color="auto" w:sz="4" w:space="0"/>
                    <w:bottom w:val="single" w:color="auto" w:sz="4" w:space="0"/>
                    <w:right w:val="single" w:color="auto" w:sz="4" w:space="0"/>
                  </w:tcBorders>
                  <w:vAlign w:val="center"/>
                </w:tcPr>
                <w:p w14:paraId="7F56EF08">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岗位</w:t>
                  </w:r>
                </w:p>
              </w:tc>
              <w:tc>
                <w:tcPr>
                  <w:tcW w:w="3187" w:type="dxa"/>
                  <w:tcBorders>
                    <w:top w:val="single" w:color="auto" w:sz="4" w:space="0"/>
                    <w:left w:val="single" w:color="auto" w:sz="4" w:space="0"/>
                    <w:bottom w:val="single" w:color="auto" w:sz="4" w:space="0"/>
                    <w:right w:val="single" w:color="auto" w:sz="4" w:space="0"/>
                  </w:tcBorders>
                  <w:vAlign w:val="center"/>
                </w:tcPr>
                <w:p w14:paraId="350E47C4">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编制</w:t>
                  </w:r>
                </w:p>
              </w:tc>
            </w:tr>
            <w:tr w14:paraId="77881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7E59BCD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50" w:type="dxa"/>
                  <w:tcBorders>
                    <w:top w:val="single" w:color="auto" w:sz="4" w:space="0"/>
                    <w:left w:val="single" w:color="auto" w:sz="4" w:space="0"/>
                    <w:bottom w:val="single" w:color="auto" w:sz="4" w:space="0"/>
                    <w:right w:val="single" w:color="auto" w:sz="4" w:space="0"/>
                  </w:tcBorders>
                  <w:vAlign w:val="center"/>
                </w:tcPr>
                <w:p w14:paraId="10A7F1D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项目经理</w:t>
                  </w:r>
                  <w:r>
                    <w:rPr>
                      <w:rFonts w:hint="eastAsia" w:ascii="宋体" w:hAnsi="宋体" w:cs="宋体"/>
                      <w:color w:val="auto"/>
                      <w:sz w:val="21"/>
                      <w:szCs w:val="21"/>
                      <w:highlight w:val="none"/>
                      <w:lang w:eastAsia="zh-CN"/>
                    </w:rPr>
                    <w:t>及客服主管</w:t>
                  </w:r>
                </w:p>
              </w:tc>
              <w:tc>
                <w:tcPr>
                  <w:tcW w:w="3187" w:type="dxa"/>
                  <w:tcBorders>
                    <w:top w:val="single" w:color="auto" w:sz="4" w:space="0"/>
                    <w:left w:val="single" w:color="auto" w:sz="4" w:space="0"/>
                    <w:bottom w:val="single" w:color="auto" w:sz="4" w:space="0"/>
                    <w:right w:val="single" w:color="auto" w:sz="4" w:space="0"/>
                  </w:tcBorders>
                  <w:vAlign w:val="center"/>
                </w:tcPr>
                <w:p w14:paraId="28AC355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人</w:t>
                  </w:r>
                </w:p>
              </w:tc>
            </w:tr>
            <w:tr w14:paraId="3019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51854C3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50" w:type="dxa"/>
                  <w:tcBorders>
                    <w:top w:val="single" w:color="auto" w:sz="4" w:space="0"/>
                    <w:left w:val="single" w:color="auto" w:sz="4" w:space="0"/>
                    <w:bottom w:val="single" w:color="auto" w:sz="4" w:space="0"/>
                    <w:right w:val="single" w:color="auto" w:sz="4" w:space="0"/>
                  </w:tcBorders>
                  <w:vAlign w:val="center"/>
                </w:tcPr>
                <w:p w14:paraId="0B0370A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队长（保安队长）</w:t>
                  </w:r>
                </w:p>
              </w:tc>
              <w:tc>
                <w:tcPr>
                  <w:tcW w:w="3187" w:type="dxa"/>
                  <w:tcBorders>
                    <w:top w:val="single" w:color="auto" w:sz="4" w:space="0"/>
                    <w:left w:val="single" w:color="auto" w:sz="4" w:space="0"/>
                    <w:bottom w:val="single" w:color="auto" w:sz="4" w:space="0"/>
                    <w:right w:val="single" w:color="auto" w:sz="4" w:space="0"/>
                  </w:tcBorders>
                  <w:vAlign w:val="center"/>
                </w:tcPr>
                <w:p w14:paraId="632CA6A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w:t>
                  </w:r>
                </w:p>
              </w:tc>
            </w:tr>
            <w:tr w14:paraId="6DC56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6AD0188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050" w:type="dxa"/>
                  <w:tcBorders>
                    <w:top w:val="single" w:color="auto" w:sz="4" w:space="0"/>
                    <w:left w:val="single" w:color="auto" w:sz="4" w:space="0"/>
                    <w:bottom w:val="single" w:color="auto" w:sz="4" w:space="0"/>
                    <w:right w:val="single" w:color="auto" w:sz="4" w:space="0"/>
                  </w:tcBorders>
                  <w:vAlign w:val="center"/>
                </w:tcPr>
                <w:p w14:paraId="0246934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秩序员（保安员）</w:t>
                  </w:r>
                </w:p>
              </w:tc>
              <w:tc>
                <w:tcPr>
                  <w:tcW w:w="3187" w:type="dxa"/>
                  <w:tcBorders>
                    <w:top w:val="single" w:color="auto" w:sz="4" w:space="0"/>
                    <w:left w:val="single" w:color="auto" w:sz="4" w:space="0"/>
                    <w:bottom w:val="single" w:color="auto" w:sz="4" w:space="0"/>
                    <w:right w:val="single" w:color="auto" w:sz="4" w:space="0"/>
                  </w:tcBorders>
                  <w:vAlign w:val="center"/>
                </w:tcPr>
                <w:p w14:paraId="2668329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3人</w:t>
                  </w:r>
                </w:p>
              </w:tc>
            </w:tr>
            <w:tr w14:paraId="0CEEF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02AD337C">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050" w:type="dxa"/>
                  <w:tcBorders>
                    <w:top w:val="single" w:color="auto" w:sz="4" w:space="0"/>
                    <w:left w:val="single" w:color="auto" w:sz="4" w:space="0"/>
                    <w:bottom w:val="single" w:color="auto" w:sz="4" w:space="0"/>
                    <w:right w:val="single" w:color="auto" w:sz="4" w:space="0"/>
                  </w:tcBorders>
                  <w:vAlign w:val="center"/>
                </w:tcPr>
                <w:p w14:paraId="4CDE569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消防监控员及水电工</w:t>
                  </w:r>
                </w:p>
              </w:tc>
              <w:tc>
                <w:tcPr>
                  <w:tcW w:w="3187" w:type="dxa"/>
                  <w:tcBorders>
                    <w:top w:val="single" w:color="auto" w:sz="4" w:space="0"/>
                    <w:left w:val="single" w:color="auto" w:sz="4" w:space="0"/>
                    <w:bottom w:val="single" w:color="auto" w:sz="4" w:space="0"/>
                    <w:right w:val="single" w:color="auto" w:sz="4" w:space="0"/>
                  </w:tcBorders>
                  <w:vAlign w:val="center"/>
                </w:tcPr>
                <w:p w14:paraId="4BDBF66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人</w:t>
                  </w:r>
                </w:p>
              </w:tc>
            </w:tr>
            <w:tr w14:paraId="60EF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366021BD">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050" w:type="dxa"/>
                  <w:tcBorders>
                    <w:top w:val="single" w:color="auto" w:sz="4" w:space="0"/>
                    <w:left w:val="single" w:color="auto" w:sz="4" w:space="0"/>
                    <w:bottom w:val="single" w:color="auto" w:sz="4" w:space="0"/>
                    <w:right w:val="single" w:color="auto" w:sz="4" w:space="0"/>
                  </w:tcBorders>
                  <w:vAlign w:val="center"/>
                </w:tcPr>
                <w:p w14:paraId="16AC4EA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保洁绿化员</w:t>
                  </w:r>
                </w:p>
              </w:tc>
              <w:tc>
                <w:tcPr>
                  <w:tcW w:w="3187" w:type="dxa"/>
                  <w:tcBorders>
                    <w:top w:val="single" w:color="auto" w:sz="4" w:space="0"/>
                    <w:left w:val="single" w:color="auto" w:sz="4" w:space="0"/>
                    <w:bottom w:val="single" w:color="auto" w:sz="4" w:space="0"/>
                    <w:right w:val="single" w:color="auto" w:sz="4" w:space="0"/>
                  </w:tcBorders>
                  <w:vAlign w:val="center"/>
                </w:tcPr>
                <w:p w14:paraId="1C59A7D1">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人</w:t>
                  </w:r>
                </w:p>
              </w:tc>
            </w:tr>
            <w:tr w14:paraId="4F201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4631" w:type="dxa"/>
                  <w:gridSpan w:val="2"/>
                  <w:tcBorders>
                    <w:top w:val="single" w:color="auto" w:sz="4" w:space="0"/>
                    <w:left w:val="single" w:color="auto" w:sz="4" w:space="0"/>
                    <w:bottom w:val="single" w:color="auto" w:sz="4" w:space="0"/>
                    <w:right w:val="single" w:color="auto" w:sz="4" w:space="0"/>
                  </w:tcBorders>
                  <w:vAlign w:val="center"/>
                </w:tcPr>
                <w:p w14:paraId="15B337FC">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187" w:type="dxa"/>
                  <w:tcBorders>
                    <w:top w:val="single" w:color="auto" w:sz="4" w:space="0"/>
                    <w:left w:val="single" w:color="auto" w:sz="4" w:space="0"/>
                    <w:bottom w:val="single" w:color="auto" w:sz="4" w:space="0"/>
                    <w:right w:val="single" w:color="auto" w:sz="4" w:space="0"/>
                  </w:tcBorders>
                  <w:vAlign w:val="center"/>
                </w:tcPr>
                <w:p w14:paraId="276FA6F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人</w:t>
                  </w:r>
                </w:p>
              </w:tc>
            </w:tr>
          </w:tbl>
          <w:p w14:paraId="43CE3291">
            <w:pPr>
              <w:pageBreakBefore w:val="0"/>
              <w:kinsoku/>
              <w:wordWrap/>
              <w:overflowPunct/>
              <w:topLinePunct w:val="0"/>
              <w:bidi w:val="0"/>
              <w:spacing w:line="400" w:lineRule="exact"/>
              <w:ind w:firstLine="1054" w:firstLineChars="5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B区（梧桐新城）</w:t>
            </w:r>
            <w:r>
              <w:rPr>
                <w:rFonts w:hint="eastAsia" w:ascii="宋体" w:hAnsi="宋体" w:eastAsia="宋体" w:cs="宋体"/>
                <w:b/>
                <w:bCs/>
                <w:color w:val="auto"/>
                <w:sz w:val="21"/>
                <w:szCs w:val="21"/>
                <w:highlight w:val="none"/>
                <w:lang w:eastAsia="zh-CN"/>
              </w:rPr>
              <w:t>小区</w:t>
            </w:r>
            <w:r>
              <w:rPr>
                <w:rFonts w:hint="eastAsia" w:ascii="宋体" w:hAnsi="宋体" w:eastAsia="宋体" w:cs="宋体"/>
                <w:b/>
                <w:bCs/>
                <w:color w:val="auto"/>
                <w:sz w:val="21"/>
                <w:szCs w:val="21"/>
                <w:highlight w:val="none"/>
              </w:rPr>
              <w:t>物业服务项目人员配置表</w:t>
            </w:r>
          </w:p>
          <w:tbl>
            <w:tblPr>
              <w:tblStyle w:val="2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3050"/>
              <w:gridCol w:w="3187"/>
            </w:tblGrid>
            <w:tr w14:paraId="3893F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E43230E">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050" w:type="dxa"/>
                  <w:tcBorders>
                    <w:top w:val="single" w:color="auto" w:sz="4" w:space="0"/>
                    <w:left w:val="single" w:color="auto" w:sz="4" w:space="0"/>
                    <w:bottom w:val="single" w:color="auto" w:sz="4" w:space="0"/>
                    <w:right w:val="single" w:color="auto" w:sz="4" w:space="0"/>
                  </w:tcBorders>
                  <w:vAlign w:val="center"/>
                </w:tcPr>
                <w:p w14:paraId="3D9AFB1C">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岗位</w:t>
                  </w:r>
                </w:p>
              </w:tc>
              <w:tc>
                <w:tcPr>
                  <w:tcW w:w="3187" w:type="dxa"/>
                  <w:tcBorders>
                    <w:top w:val="single" w:color="auto" w:sz="4" w:space="0"/>
                    <w:left w:val="single" w:color="auto" w:sz="4" w:space="0"/>
                    <w:bottom w:val="single" w:color="auto" w:sz="4" w:space="0"/>
                    <w:right w:val="single" w:color="auto" w:sz="4" w:space="0"/>
                  </w:tcBorders>
                  <w:vAlign w:val="center"/>
                </w:tcPr>
                <w:p w14:paraId="59E2BE0E">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编制</w:t>
                  </w:r>
                </w:p>
              </w:tc>
            </w:tr>
            <w:tr w14:paraId="596EE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48B64BD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50" w:type="dxa"/>
                  <w:tcBorders>
                    <w:top w:val="single" w:color="auto" w:sz="4" w:space="0"/>
                    <w:left w:val="single" w:color="auto" w:sz="4" w:space="0"/>
                    <w:bottom w:val="single" w:color="auto" w:sz="4" w:space="0"/>
                    <w:right w:val="single" w:color="auto" w:sz="4" w:space="0"/>
                  </w:tcBorders>
                  <w:vAlign w:val="center"/>
                </w:tcPr>
                <w:p w14:paraId="14502A51">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项目经理</w:t>
                  </w:r>
                </w:p>
              </w:tc>
              <w:tc>
                <w:tcPr>
                  <w:tcW w:w="3187" w:type="dxa"/>
                  <w:tcBorders>
                    <w:top w:val="single" w:color="auto" w:sz="4" w:space="0"/>
                    <w:left w:val="single" w:color="auto" w:sz="4" w:space="0"/>
                    <w:bottom w:val="single" w:color="auto" w:sz="4" w:space="0"/>
                    <w:right w:val="single" w:color="auto" w:sz="4" w:space="0"/>
                  </w:tcBorders>
                  <w:vAlign w:val="center"/>
                </w:tcPr>
                <w:p w14:paraId="65AEDCE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7929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334B1EF4">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50" w:type="dxa"/>
                  <w:tcBorders>
                    <w:top w:val="single" w:color="auto" w:sz="4" w:space="0"/>
                    <w:left w:val="single" w:color="auto" w:sz="4" w:space="0"/>
                    <w:bottom w:val="single" w:color="auto" w:sz="4" w:space="0"/>
                    <w:right w:val="single" w:color="auto" w:sz="4" w:space="0"/>
                  </w:tcBorders>
                  <w:vAlign w:val="center"/>
                </w:tcPr>
                <w:p w14:paraId="4CBA451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队长（保安队长）</w:t>
                  </w:r>
                </w:p>
              </w:tc>
              <w:tc>
                <w:tcPr>
                  <w:tcW w:w="3187" w:type="dxa"/>
                  <w:tcBorders>
                    <w:top w:val="single" w:color="auto" w:sz="4" w:space="0"/>
                    <w:left w:val="single" w:color="auto" w:sz="4" w:space="0"/>
                    <w:bottom w:val="single" w:color="auto" w:sz="4" w:space="0"/>
                    <w:right w:val="single" w:color="auto" w:sz="4" w:space="0"/>
                  </w:tcBorders>
                  <w:vAlign w:val="center"/>
                </w:tcPr>
                <w:p w14:paraId="5E575CD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w:t>
                  </w:r>
                </w:p>
              </w:tc>
            </w:tr>
            <w:tr w14:paraId="2781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27C6851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050" w:type="dxa"/>
                  <w:tcBorders>
                    <w:top w:val="single" w:color="auto" w:sz="4" w:space="0"/>
                    <w:left w:val="single" w:color="auto" w:sz="4" w:space="0"/>
                    <w:bottom w:val="single" w:color="auto" w:sz="4" w:space="0"/>
                    <w:right w:val="single" w:color="auto" w:sz="4" w:space="0"/>
                  </w:tcBorders>
                  <w:vAlign w:val="center"/>
                </w:tcPr>
                <w:p w14:paraId="02D78BF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秩序员（保安员）</w:t>
                  </w:r>
                </w:p>
              </w:tc>
              <w:tc>
                <w:tcPr>
                  <w:tcW w:w="3187" w:type="dxa"/>
                  <w:tcBorders>
                    <w:top w:val="single" w:color="auto" w:sz="4" w:space="0"/>
                    <w:left w:val="single" w:color="auto" w:sz="4" w:space="0"/>
                    <w:bottom w:val="single" w:color="auto" w:sz="4" w:space="0"/>
                    <w:right w:val="single" w:color="auto" w:sz="4" w:space="0"/>
                  </w:tcBorders>
                  <w:vAlign w:val="center"/>
                </w:tcPr>
                <w:p w14:paraId="664BF5C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人</w:t>
                  </w:r>
                </w:p>
              </w:tc>
            </w:tr>
            <w:tr w14:paraId="165A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3823D99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050" w:type="dxa"/>
                  <w:tcBorders>
                    <w:top w:val="single" w:color="auto" w:sz="4" w:space="0"/>
                    <w:left w:val="single" w:color="auto" w:sz="4" w:space="0"/>
                    <w:bottom w:val="single" w:color="auto" w:sz="4" w:space="0"/>
                    <w:right w:val="single" w:color="auto" w:sz="4" w:space="0"/>
                  </w:tcBorders>
                  <w:vAlign w:val="center"/>
                </w:tcPr>
                <w:p w14:paraId="5BC6DA42">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消防监控员及水电工</w:t>
                  </w:r>
                </w:p>
              </w:tc>
              <w:tc>
                <w:tcPr>
                  <w:tcW w:w="3187" w:type="dxa"/>
                  <w:tcBorders>
                    <w:top w:val="single" w:color="auto" w:sz="4" w:space="0"/>
                    <w:left w:val="single" w:color="auto" w:sz="4" w:space="0"/>
                    <w:bottom w:val="single" w:color="auto" w:sz="4" w:space="0"/>
                    <w:right w:val="single" w:color="auto" w:sz="4" w:space="0"/>
                  </w:tcBorders>
                  <w:vAlign w:val="center"/>
                </w:tcPr>
                <w:p w14:paraId="0EBE73D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6D2FA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32237A0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050" w:type="dxa"/>
                  <w:tcBorders>
                    <w:top w:val="single" w:color="auto" w:sz="4" w:space="0"/>
                    <w:left w:val="single" w:color="auto" w:sz="4" w:space="0"/>
                    <w:bottom w:val="single" w:color="auto" w:sz="4" w:space="0"/>
                    <w:right w:val="single" w:color="auto" w:sz="4" w:space="0"/>
                  </w:tcBorders>
                  <w:vAlign w:val="center"/>
                </w:tcPr>
                <w:p w14:paraId="03479D0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保洁绿化员</w:t>
                  </w:r>
                </w:p>
              </w:tc>
              <w:tc>
                <w:tcPr>
                  <w:tcW w:w="3187" w:type="dxa"/>
                  <w:tcBorders>
                    <w:top w:val="single" w:color="auto" w:sz="4" w:space="0"/>
                    <w:left w:val="single" w:color="auto" w:sz="4" w:space="0"/>
                    <w:bottom w:val="single" w:color="auto" w:sz="4" w:space="0"/>
                    <w:right w:val="single" w:color="auto" w:sz="4" w:space="0"/>
                  </w:tcBorders>
                  <w:vAlign w:val="center"/>
                </w:tcPr>
                <w:p w14:paraId="26DD54B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5E11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4631" w:type="dxa"/>
                  <w:gridSpan w:val="2"/>
                  <w:tcBorders>
                    <w:top w:val="single" w:color="auto" w:sz="4" w:space="0"/>
                    <w:left w:val="single" w:color="auto" w:sz="4" w:space="0"/>
                    <w:bottom w:val="single" w:color="auto" w:sz="4" w:space="0"/>
                    <w:right w:val="single" w:color="auto" w:sz="4" w:space="0"/>
                  </w:tcBorders>
                  <w:vAlign w:val="center"/>
                </w:tcPr>
                <w:p w14:paraId="2146A0AC">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187" w:type="dxa"/>
                  <w:tcBorders>
                    <w:top w:val="single" w:color="auto" w:sz="4" w:space="0"/>
                    <w:left w:val="single" w:color="auto" w:sz="4" w:space="0"/>
                    <w:bottom w:val="single" w:color="auto" w:sz="4" w:space="0"/>
                    <w:right w:val="single" w:color="auto" w:sz="4" w:space="0"/>
                  </w:tcBorders>
                  <w:vAlign w:val="center"/>
                </w:tcPr>
                <w:p w14:paraId="14F5B3F1">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人</w:t>
                  </w:r>
                </w:p>
              </w:tc>
            </w:tr>
          </w:tbl>
          <w:p w14:paraId="0A8DDA65">
            <w:pPr>
              <w:pageBreakBefore w:val="0"/>
              <w:kinsoku/>
              <w:wordWrap/>
              <w:overflowPunct/>
              <w:topLinePunct w:val="0"/>
              <w:bidi w:val="0"/>
              <w:spacing w:line="400" w:lineRule="exact"/>
              <w:ind w:firstLine="1054" w:firstLineChars="5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C区（梧桐家园）</w:t>
            </w:r>
            <w:r>
              <w:rPr>
                <w:rFonts w:hint="eastAsia" w:ascii="宋体" w:hAnsi="宋体" w:eastAsia="宋体" w:cs="宋体"/>
                <w:b/>
                <w:bCs/>
                <w:color w:val="auto"/>
                <w:sz w:val="21"/>
                <w:szCs w:val="21"/>
                <w:highlight w:val="none"/>
                <w:lang w:eastAsia="zh-CN"/>
              </w:rPr>
              <w:t>小区</w:t>
            </w:r>
            <w:r>
              <w:rPr>
                <w:rFonts w:hint="eastAsia" w:ascii="宋体" w:hAnsi="宋体" w:eastAsia="宋体" w:cs="宋体"/>
                <w:b/>
                <w:bCs/>
                <w:color w:val="auto"/>
                <w:sz w:val="21"/>
                <w:szCs w:val="21"/>
                <w:highlight w:val="none"/>
              </w:rPr>
              <w:t>物业服务项目人员配置表</w:t>
            </w:r>
          </w:p>
          <w:tbl>
            <w:tblPr>
              <w:tblStyle w:val="2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3050"/>
              <w:gridCol w:w="3187"/>
            </w:tblGrid>
            <w:tr w14:paraId="68A9E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5B964FA2">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050" w:type="dxa"/>
                  <w:tcBorders>
                    <w:top w:val="single" w:color="auto" w:sz="4" w:space="0"/>
                    <w:left w:val="single" w:color="auto" w:sz="4" w:space="0"/>
                    <w:bottom w:val="single" w:color="auto" w:sz="4" w:space="0"/>
                    <w:right w:val="single" w:color="auto" w:sz="4" w:space="0"/>
                  </w:tcBorders>
                  <w:vAlign w:val="center"/>
                </w:tcPr>
                <w:p w14:paraId="68A50730">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岗位</w:t>
                  </w:r>
                </w:p>
              </w:tc>
              <w:tc>
                <w:tcPr>
                  <w:tcW w:w="3187" w:type="dxa"/>
                  <w:tcBorders>
                    <w:top w:val="single" w:color="auto" w:sz="4" w:space="0"/>
                    <w:left w:val="single" w:color="auto" w:sz="4" w:space="0"/>
                    <w:bottom w:val="single" w:color="auto" w:sz="4" w:space="0"/>
                    <w:right w:val="single" w:color="auto" w:sz="4" w:space="0"/>
                  </w:tcBorders>
                  <w:vAlign w:val="center"/>
                </w:tcPr>
                <w:p w14:paraId="0A06DDAD">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编制</w:t>
                  </w:r>
                </w:p>
              </w:tc>
            </w:tr>
            <w:tr w14:paraId="1F9B7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726C5ED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50" w:type="dxa"/>
                  <w:tcBorders>
                    <w:top w:val="single" w:color="auto" w:sz="4" w:space="0"/>
                    <w:left w:val="single" w:color="auto" w:sz="4" w:space="0"/>
                    <w:bottom w:val="single" w:color="auto" w:sz="4" w:space="0"/>
                    <w:right w:val="single" w:color="auto" w:sz="4" w:space="0"/>
                  </w:tcBorders>
                  <w:vAlign w:val="center"/>
                </w:tcPr>
                <w:p w14:paraId="12AFB7B4">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项目经理</w:t>
                  </w:r>
                </w:p>
              </w:tc>
              <w:tc>
                <w:tcPr>
                  <w:tcW w:w="3187" w:type="dxa"/>
                  <w:tcBorders>
                    <w:top w:val="single" w:color="auto" w:sz="4" w:space="0"/>
                    <w:left w:val="single" w:color="auto" w:sz="4" w:space="0"/>
                    <w:bottom w:val="single" w:color="auto" w:sz="4" w:space="0"/>
                    <w:right w:val="single" w:color="auto" w:sz="4" w:space="0"/>
                  </w:tcBorders>
                  <w:vAlign w:val="center"/>
                </w:tcPr>
                <w:p w14:paraId="304ED09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56AA7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7CCED0A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50" w:type="dxa"/>
                  <w:tcBorders>
                    <w:top w:val="single" w:color="auto" w:sz="4" w:space="0"/>
                    <w:left w:val="single" w:color="auto" w:sz="4" w:space="0"/>
                    <w:bottom w:val="single" w:color="auto" w:sz="4" w:space="0"/>
                    <w:right w:val="single" w:color="auto" w:sz="4" w:space="0"/>
                  </w:tcBorders>
                  <w:vAlign w:val="center"/>
                </w:tcPr>
                <w:p w14:paraId="0F8B659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队长（保安队长）</w:t>
                  </w:r>
                </w:p>
              </w:tc>
              <w:tc>
                <w:tcPr>
                  <w:tcW w:w="3187" w:type="dxa"/>
                  <w:tcBorders>
                    <w:top w:val="single" w:color="auto" w:sz="4" w:space="0"/>
                    <w:left w:val="single" w:color="auto" w:sz="4" w:space="0"/>
                    <w:bottom w:val="single" w:color="auto" w:sz="4" w:space="0"/>
                    <w:right w:val="single" w:color="auto" w:sz="4" w:space="0"/>
                  </w:tcBorders>
                  <w:vAlign w:val="center"/>
                </w:tcPr>
                <w:p w14:paraId="70F7DA81">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w:t>
                  </w:r>
                </w:p>
              </w:tc>
            </w:tr>
            <w:tr w14:paraId="4D8F9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661C090A">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050" w:type="dxa"/>
                  <w:tcBorders>
                    <w:top w:val="single" w:color="auto" w:sz="4" w:space="0"/>
                    <w:left w:val="single" w:color="auto" w:sz="4" w:space="0"/>
                    <w:bottom w:val="single" w:color="auto" w:sz="4" w:space="0"/>
                    <w:right w:val="single" w:color="auto" w:sz="4" w:space="0"/>
                  </w:tcBorders>
                  <w:vAlign w:val="center"/>
                </w:tcPr>
                <w:p w14:paraId="795EA3FA">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秩序员（保安员）</w:t>
                  </w:r>
                </w:p>
              </w:tc>
              <w:tc>
                <w:tcPr>
                  <w:tcW w:w="3187" w:type="dxa"/>
                  <w:tcBorders>
                    <w:top w:val="single" w:color="auto" w:sz="4" w:space="0"/>
                    <w:left w:val="single" w:color="auto" w:sz="4" w:space="0"/>
                    <w:bottom w:val="single" w:color="auto" w:sz="4" w:space="0"/>
                    <w:right w:val="single" w:color="auto" w:sz="4" w:space="0"/>
                  </w:tcBorders>
                  <w:vAlign w:val="center"/>
                </w:tcPr>
                <w:p w14:paraId="54E2ACC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3人</w:t>
                  </w:r>
                </w:p>
              </w:tc>
            </w:tr>
            <w:tr w14:paraId="5CA7F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08702EFC">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050" w:type="dxa"/>
                  <w:tcBorders>
                    <w:top w:val="single" w:color="auto" w:sz="4" w:space="0"/>
                    <w:left w:val="single" w:color="auto" w:sz="4" w:space="0"/>
                    <w:bottom w:val="single" w:color="auto" w:sz="4" w:space="0"/>
                    <w:right w:val="single" w:color="auto" w:sz="4" w:space="0"/>
                  </w:tcBorders>
                  <w:vAlign w:val="center"/>
                </w:tcPr>
                <w:p w14:paraId="51A45B0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消防监控员及水电工</w:t>
                  </w:r>
                </w:p>
              </w:tc>
              <w:tc>
                <w:tcPr>
                  <w:tcW w:w="3187" w:type="dxa"/>
                  <w:tcBorders>
                    <w:top w:val="single" w:color="auto" w:sz="4" w:space="0"/>
                    <w:left w:val="single" w:color="auto" w:sz="4" w:space="0"/>
                    <w:bottom w:val="single" w:color="auto" w:sz="4" w:space="0"/>
                    <w:right w:val="single" w:color="auto" w:sz="4" w:space="0"/>
                  </w:tcBorders>
                  <w:vAlign w:val="center"/>
                </w:tcPr>
                <w:p w14:paraId="2F3F1B6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2B54F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25F6B87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050" w:type="dxa"/>
                  <w:tcBorders>
                    <w:top w:val="single" w:color="auto" w:sz="4" w:space="0"/>
                    <w:left w:val="single" w:color="auto" w:sz="4" w:space="0"/>
                    <w:bottom w:val="single" w:color="auto" w:sz="4" w:space="0"/>
                    <w:right w:val="single" w:color="auto" w:sz="4" w:space="0"/>
                  </w:tcBorders>
                  <w:vAlign w:val="center"/>
                </w:tcPr>
                <w:p w14:paraId="0C68560A">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保洁绿化员</w:t>
                  </w:r>
                </w:p>
              </w:tc>
              <w:tc>
                <w:tcPr>
                  <w:tcW w:w="3187" w:type="dxa"/>
                  <w:tcBorders>
                    <w:top w:val="single" w:color="auto" w:sz="4" w:space="0"/>
                    <w:left w:val="single" w:color="auto" w:sz="4" w:space="0"/>
                    <w:bottom w:val="single" w:color="auto" w:sz="4" w:space="0"/>
                    <w:right w:val="single" w:color="auto" w:sz="4" w:space="0"/>
                  </w:tcBorders>
                  <w:vAlign w:val="center"/>
                </w:tcPr>
                <w:p w14:paraId="11FA10F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人</w:t>
                  </w:r>
                </w:p>
              </w:tc>
            </w:tr>
            <w:tr w14:paraId="35B1C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4631" w:type="dxa"/>
                  <w:gridSpan w:val="2"/>
                  <w:tcBorders>
                    <w:top w:val="single" w:color="auto" w:sz="4" w:space="0"/>
                    <w:left w:val="single" w:color="auto" w:sz="4" w:space="0"/>
                    <w:bottom w:val="single" w:color="auto" w:sz="4" w:space="0"/>
                    <w:right w:val="single" w:color="auto" w:sz="4" w:space="0"/>
                  </w:tcBorders>
                  <w:vAlign w:val="center"/>
                </w:tcPr>
                <w:p w14:paraId="0703E4D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187" w:type="dxa"/>
                  <w:tcBorders>
                    <w:top w:val="single" w:color="auto" w:sz="4" w:space="0"/>
                    <w:left w:val="single" w:color="auto" w:sz="4" w:space="0"/>
                    <w:bottom w:val="single" w:color="auto" w:sz="4" w:space="0"/>
                    <w:right w:val="single" w:color="auto" w:sz="4" w:space="0"/>
                  </w:tcBorders>
                  <w:vAlign w:val="center"/>
                </w:tcPr>
                <w:p w14:paraId="384E7D0C">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人</w:t>
                  </w:r>
                </w:p>
              </w:tc>
            </w:tr>
          </w:tbl>
          <w:p w14:paraId="3406ECC6">
            <w:pPr>
              <w:pageBreakBefore w:val="0"/>
              <w:numPr>
                <w:ilvl w:val="0"/>
                <w:numId w:val="0"/>
              </w:numPr>
              <w:kinsoku/>
              <w:wordWrap/>
              <w:overflowPunct/>
              <w:topLinePunct w:val="0"/>
              <w:bidi w:val="0"/>
              <w:spacing w:line="400" w:lineRule="exact"/>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（二）人员配置要求</w:t>
            </w:r>
          </w:p>
          <w:p w14:paraId="4FCCDB3E">
            <w:pPr>
              <w:pageBreakBefore w:val="0"/>
              <w:numPr>
                <w:ilvl w:val="0"/>
                <w:numId w:val="0"/>
              </w:numPr>
              <w:kinsoku/>
              <w:wordWrap/>
              <w:overflowPunct/>
              <w:topLinePunct w:val="0"/>
              <w:bidi w:val="0"/>
              <w:spacing w:line="400" w:lineRule="exact"/>
              <w:textAlignment w:val="auto"/>
              <w:rPr>
                <w:rFonts w:hint="eastAsia" w:ascii="宋体" w:hAnsi="宋体" w:eastAsia="宋体" w:cs="宋体"/>
                <w:b/>
                <w:color w:val="auto"/>
                <w:sz w:val="21"/>
                <w:szCs w:val="21"/>
                <w:highlight w:val="none"/>
              </w:rPr>
            </w:pPr>
            <w:r>
              <w:rPr>
                <w:rFonts w:hint="eastAsia" w:ascii="宋体" w:hAnsi="宋体" w:cs="宋体"/>
                <w:color w:val="auto"/>
                <w:sz w:val="21"/>
                <w:szCs w:val="21"/>
                <w:highlight w:val="none"/>
                <w:lang w:val="en-US" w:eastAsia="zh-CN"/>
              </w:rPr>
              <w:t xml:space="preserve">    随着小区入住率的增加，根据实际需求增加人员，确保小区管理到位。</w:t>
            </w:r>
          </w:p>
          <w:p w14:paraId="11146034">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w:t>
            </w:r>
            <w:r>
              <w:rPr>
                <w:rFonts w:hint="eastAsia" w:ascii="宋体" w:hAnsi="宋体" w:cs="宋体"/>
                <w:b/>
                <w:color w:val="auto"/>
                <w:sz w:val="21"/>
                <w:szCs w:val="21"/>
                <w:highlight w:val="none"/>
                <w:lang w:eastAsia="zh-CN"/>
              </w:rPr>
              <w:t>三</w:t>
            </w:r>
            <w:r>
              <w:rPr>
                <w:rFonts w:hint="eastAsia" w:ascii="宋体" w:hAnsi="宋体" w:eastAsia="宋体" w:cs="宋体"/>
                <w:b/>
                <w:color w:val="auto"/>
                <w:sz w:val="21"/>
                <w:szCs w:val="21"/>
                <w:highlight w:val="none"/>
              </w:rPr>
              <w:t>）人员素质要求</w:t>
            </w:r>
          </w:p>
          <w:p w14:paraId="1FC12919">
            <w:pPr>
              <w:pageBreakBefore w:val="0"/>
              <w:kinsoku/>
              <w:wordWrap/>
              <w:overflowPunct/>
              <w:topLinePunct w:val="0"/>
              <w:bidi w:val="0"/>
              <w:spacing w:line="400" w:lineRule="exact"/>
              <w:ind w:firstLine="422" w:firstLineChars="200"/>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1．项目</w:t>
            </w:r>
            <w:r>
              <w:rPr>
                <w:rFonts w:hint="eastAsia" w:ascii="宋体" w:hAnsi="宋体" w:eastAsia="宋体" w:cs="宋体"/>
                <w:b/>
                <w:color w:val="auto"/>
                <w:sz w:val="21"/>
                <w:szCs w:val="21"/>
                <w:highlight w:val="none"/>
                <w:lang w:eastAsia="zh-CN"/>
              </w:rPr>
              <w:t>经理</w:t>
            </w:r>
            <w:r>
              <w:rPr>
                <w:rFonts w:hint="eastAsia" w:ascii="宋体" w:hAnsi="宋体" w:cs="宋体"/>
                <w:b/>
                <w:bCs/>
                <w:color w:val="auto"/>
                <w:sz w:val="21"/>
                <w:szCs w:val="21"/>
                <w:highlight w:val="none"/>
                <w:lang w:eastAsia="zh-CN"/>
              </w:rPr>
              <w:t>及客服主管</w:t>
            </w:r>
          </w:p>
          <w:p w14:paraId="3B597C2E">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大学专科以上文化程度，</w:t>
            </w:r>
            <w:r>
              <w:rPr>
                <w:rFonts w:hint="eastAsia" w:ascii="宋体" w:hAnsi="宋体" w:cs="宋体"/>
                <w:color w:val="auto"/>
                <w:sz w:val="21"/>
                <w:szCs w:val="21"/>
                <w:highlight w:val="none"/>
                <w:lang w:eastAsia="zh-CN"/>
              </w:rPr>
              <w:t>物业管理或物业管理相近专业毕业，</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年以上物业管理经验；具有较强的组织和领导能力，熟悉物业管理法律法规。</w:t>
            </w:r>
          </w:p>
          <w:p w14:paraId="1A25FD99">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2．工程维修人员（水电工）</w:t>
            </w:r>
          </w:p>
          <w:p w14:paraId="72F5D533">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中专以上文化程度，电气或机械设备专业毕业，持有电工证；</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年以上配电工程经验或配电系统维护经验，熟悉变配电、建筑电气维修养护专业管理工作经验，给排水维修保养方面有较丰富经验；有一定的协调能力。</w:t>
            </w:r>
          </w:p>
          <w:p w14:paraId="67DF8111">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3．消防监控员</w:t>
            </w:r>
          </w:p>
          <w:p w14:paraId="55A18AAB">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中专以上文化程度；工作认真负责，吃苦耐劳，熟悉各类消防及监控设施设备的工作流程和规范，有较强的消防专业能力。</w:t>
            </w:r>
          </w:p>
          <w:p w14:paraId="27E0897C">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4．秩序维护员</w:t>
            </w:r>
          </w:p>
          <w:p w14:paraId="0F316985">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初中以上文化程度，接受过系统的治安管理培训；政治素质高，反应灵敏，形象较好。</w:t>
            </w:r>
          </w:p>
          <w:p w14:paraId="73C73ECC">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5．绿化员 </w:t>
            </w:r>
          </w:p>
          <w:p w14:paraId="70E27DBC">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初中以上文化程度；从事绿化管理工作2年以上；能够进行各种绿化养护操作，能够使用和维护各种绿化设备；工作认真严谨，有责任心，能吃苦。</w:t>
            </w:r>
          </w:p>
          <w:p w14:paraId="481E4F3B">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6．保洁人员</w:t>
            </w:r>
          </w:p>
          <w:p w14:paraId="42A14FAE">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初中以上文化程度；工作认真负责</w:t>
            </w:r>
            <w:r>
              <w:rPr>
                <w:rFonts w:hint="eastAsia" w:ascii="宋体" w:hAnsi="宋体" w:eastAsia="宋体" w:cs="宋体"/>
                <w:color w:val="auto"/>
                <w:sz w:val="21"/>
                <w:szCs w:val="21"/>
                <w:highlight w:val="none"/>
                <w:lang w:eastAsia="zh-CN"/>
              </w:rPr>
              <w:t>、工作态度好、</w:t>
            </w:r>
            <w:r>
              <w:rPr>
                <w:rFonts w:hint="eastAsia" w:ascii="宋体" w:hAnsi="宋体" w:eastAsia="宋体" w:cs="宋体"/>
                <w:color w:val="auto"/>
                <w:sz w:val="21"/>
                <w:szCs w:val="21"/>
                <w:highlight w:val="none"/>
              </w:rPr>
              <w:t>任劳任怨；1年以上环卫或有宾馆清洁工作经验。</w:t>
            </w:r>
          </w:p>
          <w:p w14:paraId="28F37D4E">
            <w:pPr>
              <w:pageBreakBefore w:val="0"/>
              <w:kinsoku/>
              <w:wordWrap/>
              <w:overflowPunct/>
              <w:topLinePunct w:val="0"/>
              <w:bidi w:val="0"/>
              <w:spacing w:line="400" w:lineRule="exact"/>
              <w:ind w:firstLine="411" w:firstLineChars="196"/>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六、其他要求</w:t>
            </w:r>
          </w:p>
          <w:p w14:paraId="21ACBE24">
            <w:pPr>
              <w:pageBreakBefore w:val="0"/>
              <w:kinsoku/>
              <w:wordWrap/>
              <w:overflowPunct/>
              <w:topLinePunct w:val="0"/>
              <w:bidi w:val="0"/>
              <w:spacing w:line="400" w:lineRule="exact"/>
              <w:ind w:firstLine="316" w:firstLineChars="15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（一）管理费标准</w:t>
            </w:r>
          </w:p>
          <w:p w14:paraId="11E8440F">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由磋商人根据</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所提供的资料和项目所在地的物价水平自行测算，要求报单月价格及</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年的总价和详细项目预算表，报价即要考虑优质、经济，又要考虑该物业服务的实际情况。</w:t>
            </w:r>
          </w:p>
          <w:p w14:paraId="37F47DAA">
            <w:pPr>
              <w:pageBreakBefore w:val="0"/>
              <w:kinsoku/>
              <w:wordWrap/>
              <w:overflowPunct/>
              <w:topLinePunct w:val="0"/>
              <w:bidi w:val="0"/>
              <w:spacing w:line="400" w:lineRule="exact"/>
              <w:ind w:firstLine="316" w:firstLineChars="15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（二）服务工作标准</w:t>
            </w:r>
          </w:p>
          <w:p w14:paraId="2AB5156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应树立“业主至上，服务第一”的思想，为采购人创造一个安全、宁静、整洁、优雅的办公环境；</w:t>
            </w:r>
          </w:p>
          <w:p w14:paraId="1C7EF09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应为采购人提供礼貌、热情、周到的服务，最大限度地满足采购人的服务要求；</w:t>
            </w:r>
          </w:p>
          <w:p w14:paraId="584D434E">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pacing w:val="-4"/>
                <w:sz w:val="21"/>
                <w:szCs w:val="21"/>
                <w:highlight w:val="none"/>
              </w:rPr>
              <w:t>应主动、积极地加强与采购人的联系，多途径、多渠道征询和听取意见，不断改进工作；</w:t>
            </w:r>
          </w:p>
          <w:p w14:paraId="1F29A76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应大力推行创优质服务，优质管理的活动，使采购人对营运服务的满意率达到98%以上，并负责使管理的物业保值、增值；</w:t>
            </w:r>
          </w:p>
          <w:p w14:paraId="151D69C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应加强保密教育，严格遵守保密规定；</w:t>
            </w:r>
          </w:p>
          <w:p w14:paraId="42AC139A">
            <w:pPr>
              <w:pageBreakBefore w:val="0"/>
              <w:kinsoku/>
              <w:wordWrap/>
              <w:overflowPunct/>
              <w:topLinePunct w:val="0"/>
              <w:bidi w:val="0"/>
              <w:spacing w:line="400" w:lineRule="exact"/>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应积极为采购人提供其他特殊项目的服务。</w:t>
            </w:r>
          </w:p>
        </w:tc>
      </w:tr>
      <w:tr w14:paraId="2AD10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dxa"/>
        </w:trPr>
        <w:tc>
          <w:tcPr>
            <w:tcW w:w="418" w:type="dxa"/>
            <w:shd w:val="clear" w:color="auto" w:fill="auto"/>
            <w:vAlign w:val="center"/>
          </w:tcPr>
          <w:p w14:paraId="05B7BD71">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商务条款</w:t>
            </w:r>
          </w:p>
        </w:tc>
        <w:tc>
          <w:tcPr>
            <w:tcW w:w="8677" w:type="dxa"/>
            <w:gridSpan w:val="3"/>
            <w:shd w:val="clear" w:color="auto" w:fill="auto"/>
          </w:tcPr>
          <w:p w14:paraId="74EB47ED">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一、合同签订期:自</w:t>
            </w:r>
            <w:r>
              <w:rPr>
                <w:rFonts w:hint="eastAsia" w:ascii="宋体" w:hAnsi="宋体" w:eastAsia="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 xml:space="preserve">通知书发出之日起 </w:t>
            </w:r>
            <w:r>
              <w:rPr>
                <w:rFonts w:hint="eastAsia" w:ascii="宋体" w:hAnsi="宋体" w:eastAsia="宋体" w:cs="宋体"/>
                <w:bCs/>
                <w:color w:val="auto"/>
                <w:sz w:val="21"/>
                <w:szCs w:val="21"/>
                <w:highlight w:val="none"/>
                <w:lang w:val="en-US" w:eastAsia="zh-CN"/>
              </w:rPr>
              <w:t>30日</w:t>
            </w:r>
            <w:r>
              <w:rPr>
                <w:rFonts w:hint="eastAsia" w:ascii="宋体" w:hAnsi="宋体" w:eastAsia="宋体" w:cs="宋体"/>
                <w:bCs/>
                <w:color w:val="auto"/>
                <w:sz w:val="21"/>
                <w:szCs w:val="21"/>
                <w:highlight w:val="none"/>
              </w:rPr>
              <w:t>内</w:t>
            </w:r>
          </w:p>
          <w:p w14:paraId="013351ED">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▲二、提交服务成果时间:</w:t>
            </w:r>
            <w:r>
              <w:rPr>
                <w:rFonts w:hint="eastAsia" w:ascii="宋体" w:hAnsi="宋体" w:cs="宋体"/>
                <w:bCs/>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年</w:t>
            </w:r>
            <w:r>
              <w:rPr>
                <w:rFonts w:hint="eastAsia" w:ascii="宋体" w:hAnsi="宋体" w:eastAsia="宋体" w:cs="宋体"/>
                <w:bCs/>
                <w:color w:val="auto"/>
                <w:sz w:val="21"/>
                <w:szCs w:val="21"/>
                <w:highlight w:val="none"/>
              </w:rPr>
              <w:t>。</w:t>
            </w:r>
          </w:p>
          <w:p w14:paraId="28DAAA45">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三、提交服务成果地点:</w:t>
            </w:r>
            <w:r>
              <w:rPr>
                <w:rFonts w:hint="eastAsia" w:ascii="宋体" w:hAnsi="宋体" w:eastAsia="宋体" w:cs="宋体"/>
                <w:bCs/>
                <w:color w:val="auto"/>
                <w:sz w:val="21"/>
                <w:szCs w:val="21"/>
                <w:highlight w:val="none"/>
                <w:lang w:val="en-US" w:eastAsia="zh-CN"/>
              </w:rPr>
              <w:t>崇左市阳光名邸小区</w:t>
            </w:r>
            <w:r>
              <w:rPr>
                <w:rFonts w:hint="eastAsia" w:ascii="宋体" w:hAnsi="宋体" w:eastAsia="宋体" w:cs="宋体"/>
                <w:bCs/>
                <w:color w:val="auto"/>
                <w:sz w:val="21"/>
                <w:szCs w:val="21"/>
                <w:highlight w:val="none"/>
              </w:rPr>
              <w:t>；</w:t>
            </w:r>
          </w:p>
          <w:p w14:paraId="67C2E33F">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四、售后服务要求：</w:t>
            </w:r>
          </w:p>
          <w:p w14:paraId="3A94C67C">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1.服务期限：自合同签订之日起</w:t>
            </w:r>
            <w:r>
              <w:rPr>
                <w:rFonts w:hint="eastAsia" w:ascii="宋体" w:hAnsi="宋体" w:eastAsia="宋体" w:cs="宋体"/>
                <w:bCs/>
                <w:color w:val="auto"/>
                <w:sz w:val="21"/>
                <w:szCs w:val="21"/>
                <w:highlight w:val="none"/>
                <w:lang w:val="en-US" w:eastAsia="zh-CN"/>
              </w:rPr>
              <w:t>两年</w:t>
            </w:r>
            <w:r>
              <w:rPr>
                <w:rFonts w:hint="eastAsia" w:ascii="宋体" w:hAnsi="宋体" w:eastAsia="宋体" w:cs="宋体"/>
                <w:bCs/>
                <w:color w:val="auto"/>
                <w:sz w:val="21"/>
                <w:szCs w:val="21"/>
                <w:highlight w:val="none"/>
              </w:rPr>
              <w:t>。服务期满后，采购人可以视</w:t>
            </w:r>
            <w:r>
              <w:rPr>
                <w:rFonts w:hint="eastAsia" w:ascii="宋体" w:hAnsi="宋体" w:eastAsia="宋体" w:cs="宋体"/>
                <w:bCs/>
                <w:color w:val="auto"/>
                <w:sz w:val="21"/>
                <w:szCs w:val="21"/>
                <w:highlight w:val="none"/>
                <w:lang w:eastAsia="zh-CN"/>
              </w:rPr>
              <w:t>供应商</w:t>
            </w:r>
            <w:r>
              <w:rPr>
                <w:rFonts w:hint="eastAsia" w:ascii="宋体" w:hAnsi="宋体" w:eastAsia="宋体" w:cs="宋体"/>
                <w:bCs/>
                <w:color w:val="auto"/>
                <w:sz w:val="21"/>
                <w:szCs w:val="21"/>
                <w:highlight w:val="none"/>
              </w:rPr>
              <w:t>的服务质量情况，经业主委员会同意后，可再续签服务合同。</w:t>
            </w:r>
          </w:p>
          <w:p w14:paraId="788F5610">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2.处理问题响应时间:接到采购人处理问题通知后半小时内到达采购人指定现场。</w:t>
            </w:r>
          </w:p>
          <w:p w14:paraId="2DE5ADE8">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五、</w:t>
            </w:r>
            <w:r>
              <w:rPr>
                <w:rFonts w:hint="eastAsia" w:ascii="宋体" w:hAnsi="宋体" w:eastAsia="宋体" w:cs="宋体"/>
                <w:bCs/>
                <w:color w:val="auto"/>
                <w:sz w:val="21"/>
                <w:szCs w:val="21"/>
                <w:highlight w:val="none"/>
                <w:lang w:val="en-US" w:eastAsia="zh-CN"/>
              </w:rPr>
              <w:t>报价</w:t>
            </w:r>
            <w:r>
              <w:rPr>
                <w:rFonts w:hint="eastAsia" w:ascii="宋体" w:hAnsi="宋体" w:eastAsia="宋体" w:cs="宋体"/>
                <w:bCs/>
                <w:color w:val="auto"/>
                <w:sz w:val="21"/>
                <w:szCs w:val="21"/>
                <w:highlight w:val="none"/>
              </w:rPr>
              <w:t>要求:</w:t>
            </w:r>
          </w:p>
          <w:p w14:paraId="24B85456">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▲1.报价必须含以下部分：</w:t>
            </w:r>
          </w:p>
          <w:p w14:paraId="1F13F9F2">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管理、服务人员的工资、按规定提取的保险和福利费用及国家地方规定必须缴纳的费用（含基本工资、节日加班费、社会保险费、管理人员服装费、装备费、高温费、节假日补贴、年终双薪等）；</w:t>
            </w:r>
          </w:p>
          <w:p w14:paraId="1999CC3E">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日常行政办公费（含水电费、通讯费、办公用品费、培训费等）；</w:t>
            </w:r>
          </w:p>
          <w:p w14:paraId="11FEFD71">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公共设施、设备维修、养护、运行和管理费；</w:t>
            </w:r>
          </w:p>
          <w:p w14:paraId="18AFBD90">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清洁卫生费（含保洁用品费、垃圾清运费、化粪池清理费等）；</w:t>
            </w:r>
          </w:p>
          <w:p w14:paraId="22E3D49B">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绿化管理费（含绿化工具易耗品购置费、杀虫剂、肥料等）；</w:t>
            </w:r>
          </w:p>
          <w:p w14:paraId="10D51704">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物业公司与本项目直接有关的固定资产折旧费；</w:t>
            </w:r>
          </w:p>
          <w:p w14:paraId="591FCE32">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物业公司合理利润；</w:t>
            </w:r>
          </w:p>
          <w:p w14:paraId="0B91274E">
            <w:pPr>
              <w:numPr>
                <w:ilvl w:val="0"/>
                <w:numId w:val="6"/>
              </w:numPr>
              <w:spacing w:line="360" w:lineRule="auto"/>
              <w:ind w:left="425" w:leftChars="0" w:hanging="425" w:firstLineChars="0"/>
              <w:jc w:val="left"/>
              <w:rPr>
                <w:rFonts w:hint="eastAsia" w:ascii="宋体" w:hAnsi="宋体" w:eastAsia="宋体" w:cs="宋体"/>
                <w:bCs/>
                <w:color w:val="auto"/>
                <w:sz w:val="21"/>
                <w:szCs w:val="21"/>
                <w:highlight w:val="none"/>
              </w:rPr>
            </w:pPr>
            <w:r>
              <w:rPr>
                <w:rFonts w:hint="eastAsia" w:ascii="宋体" w:hAnsi="宋体" w:eastAsia="宋体" w:cs="宋体"/>
                <w:color w:val="auto"/>
                <w:sz w:val="24"/>
                <w:szCs w:val="24"/>
                <w:highlight w:val="none"/>
              </w:rPr>
              <w:t>法定税费。</w:t>
            </w:r>
          </w:p>
          <w:p w14:paraId="64061FDE">
            <w:pPr>
              <w:numPr>
                <w:ilvl w:val="0"/>
                <w:numId w:val="0"/>
              </w:numPr>
              <w:spacing w:line="360" w:lineRule="auto"/>
              <w:ind w:leftChars="0"/>
              <w:jc w:val="lef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六、付款方式要求：</w:t>
            </w:r>
          </w:p>
          <w:p w14:paraId="54070CCF">
            <w:pPr>
              <w:numPr>
                <w:ilvl w:val="0"/>
                <w:numId w:val="0"/>
              </w:numPr>
              <w:spacing w:line="360" w:lineRule="auto"/>
              <w:ind w:leftChars="0"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付款方式:</w:t>
            </w:r>
            <w:r>
              <w:rPr>
                <w:rFonts w:hint="eastAsia" w:ascii="宋体" w:hAnsi="宋体" w:eastAsia="宋体" w:cs="宋体"/>
                <w:bCs/>
                <w:color w:val="auto"/>
                <w:sz w:val="21"/>
                <w:szCs w:val="21"/>
                <w:highlight w:val="none"/>
                <w:lang w:eastAsia="zh-CN"/>
              </w:rPr>
              <w:t>乙方</w:t>
            </w:r>
            <w:r>
              <w:rPr>
                <w:rFonts w:hint="eastAsia" w:ascii="宋体" w:hAnsi="宋体" w:eastAsia="宋体" w:cs="宋体"/>
                <w:bCs/>
                <w:color w:val="auto"/>
                <w:sz w:val="21"/>
                <w:szCs w:val="21"/>
                <w:highlight w:val="none"/>
              </w:rPr>
              <w:t>自行承担向租户催缴应收物业费之责任，</w:t>
            </w:r>
            <w:r>
              <w:rPr>
                <w:rFonts w:hint="eastAsia" w:ascii="宋体" w:hAnsi="宋体" w:eastAsia="宋体" w:cs="宋体"/>
                <w:bCs/>
                <w:color w:val="auto"/>
                <w:sz w:val="21"/>
                <w:szCs w:val="21"/>
                <w:highlight w:val="none"/>
                <w:lang w:eastAsia="zh-CN"/>
              </w:rPr>
              <w:t>年度结算时</w:t>
            </w:r>
            <w:r>
              <w:rPr>
                <w:rFonts w:hint="eastAsia" w:ascii="宋体" w:hAnsi="宋体" w:eastAsia="宋体" w:cs="宋体"/>
                <w:bCs/>
                <w:color w:val="auto"/>
                <w:sz w:val="21"/>
                <w:szCs w:val="21"/>
                <w:highlight w:val="none"/>
              </w:rPr>
              <w:t>扣除乙方应收物业费后，由</w:t>
            </w:r>
            <w:r>
              <w:rPr>
                <w:rFonts w:hint="eastAsia" w:ascii="宋体" w:hAnsi="宋体" w:eastAsia="宋体" w:cs="宋体"/>
                <w:bCs/>
                <w:color w:val="auto"/>
                <w:sz w:val="21"/>
                <w:szCs w:val="21"/>
                <w:highlight w:val="none"/>
                <w:lang w:eastAsia="zh-CN"/>
              </w:rPr>
              <w:t>甲方</w:t>
            </w:r>
            <w:r>
              <w:rPr>
                <w:rFonts w:hint="eastAsia" w:ascii="宋体" w:hAnsi="宋体" w:eastAsia="宋体" w:cs="宋体"/>
                <w:bCs/>
                <w:color w:val="auto"/>
                <w:sz w:val="21"/>
                <w:szCs w:val="21"/>
                <w:highlight w:val="none"/>
              </w:rPr>
              <w:t>补足与</w:t>
            </w:r>
            <w:r>
              <w:rPr>
                <w:rFonts w:hint="eastAsia" w:ascii="宋体" w:hAnsi="宋体" w:eastAsia="宋体" w:cs="宋体"/>
                <w:bCs/>
                <w:color w:val="auto"/>
                <w:sz w:val="21"/>
                <w:szCs w:val="21"/>
                <w:highlight w:val="none"/>
                <w:lang w:eastAsia="zh-CN"/>
              </w:rPr>
              <w:t>合同</w:t>
            </w:r>
            <w:r>
              <w:rPr>
                <w:rFonts w:hint="eastAsia" w:ascii="宋体" w:hAnsi="宋体" w:eastAsia="宋体" w:cs="宋体"/>
                <w:bCs/>
                <w:color w:val="auto"/>
                <w:sz w:val="21"/>
                <w:szCs w:val="21"/>
                <w:highlight w:val="none"/>
              </w:rPr>
              <w:t>价差额部分费</w:t>
            </w:r>
            <w:r>
              <w:rPr>
                <w:rFonts w:hint="eastAsia" w:ascii="宋体" w:hAnsi="宋体" w:eastAsia="宋体" w:cs="宋体"/>
                <w:bCs/>
                <w:color w:val="auto"/>
                <w:sz w:val="21"/>
                <w:szCs w:val="21"/>
                <w:highlight w:val="none"/>
              </w:rPr>
              <w:t>用</w:t>
            </w:r>
            <w:r>
              <w:rPr>
                <w:rFonts w:hint="eastAsia" w:ascii="宋体" w:hAnsi="宋体" w:cs="宋体"/>
                <w:bCs/>
                <w:color w:val="auto"/>
                <w:sz w:val="21"/>
                <w:szCs w:val="21"/>
                <w:highlight w:val="none"/>
                <w:lang w:val="en-US" w:eastAsia="zh-CN"/>
              </w:rPr>
              <w:t>。</w:t>
            </w:r>
          </w:p>
          <w:p w14:paraId="68666A24">
            <w:pPr>
              <w:numPr>
                <w:ilvl w:val="0"/>
                <w:numId w:val="7"/>
              </w:numPr>
              <w:spacing w:line="360" w:lineRule="auto"/>
              <w:jc w:val="lef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其他要求：</w:t>
            </w:r>
          </w:p>
          <w:p w14:paraId="2D833E69">
            <w:pPr>
              <w:numPr>
                <w:ilvl w:val="0"/>
                <w:numId w:val="0"/>
              </w:numPr>
              <w:spacing w:line="360" w:lineRule="auto"/>
              <w:ind w:firstLine="210" w:firstLineChars="1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中央空调、变压设备、加压设备、消防设备、安防监控设备的维保及防雷检测等工作由采购人另行聘请专业单位负责，费用由采购人承担，中标单位做好设备的日常管理和巡检，发现问题及时联系专业单位进行处理并做好相关配合工作。</w:t>
            </w:r>
          </w:p>
          <w:p w14:paraId="1EFE1A7D">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2</w:t>
            </w:r>
            <w:r>
              <w:rPr>
                <w:rFonts w:hint="eastAsia" w:ascii="宋体" w:hAnsi="宋体" w:eastAsia="宋体" w:cs="宋体"/>
                <w:bCs/>
                <w:color w:val="auto"/>
                <w:sz w:val="21"/>
                <w:szCs w:val="21"/>
                <w:highlight w:val="none"/>
              </w:rPr>
              <w:t>.中标单位不得将整体管理责任及利益转让给其他单位和个人。也不能给第三者挂靠。否则采购人可以提前解除本项目物业服务合同，并将所有已得利益双倍赔付给采购人。</w:t>
            </w:r>
          </w:p>
          <w:p w14:paraId="154AE6CF">
            <w:pPr>
              <w:spacing w:line="360" w:lineRule="auto"/>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rPr>
              <w:t>.投标人可实地进行勘察，勘察费用自理。</w:t>
            </w:r>
          </w:p>
          <w:p w14:paraId="2B31B2B0">
            <w:pPr>
              <w:spacing w:line="360" w:lineRule="auto"/>
              <w:jc w:val="left"/>
              <w:rPr>
                <w:rFonts w:hint="eastAsia" w:ascii="宋体" w:hAnsi="宋体" w:eastAsia="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4.</w:t>
            </w:r>
            <w:r>
              <w:rPr>
                <w:rFonts w:hint="eastAsia" w:ascii="宋体" w:hAnsi="宋体" w:eastAsia="宋体" w:cs="宋体"/>
                <w:bCs/>
                <w:color w:val="auto"/>
                <w:sz w:val="21"/>
                <w:szCs w:val="21"/>
                <w:highlight w:val="none"/>
              </w:rPr>
              <w:t>采购人认为有必要交给物业服务公司管理的其它项目，中标人有义务接受，在双方协商一致基础上签订补充协议</w:t>
            </w:r>
            <w:r>
              <w:rPr>
                <w:rFonts w:hint="eastAsia" w:ascii="宋体" w:hAnsi="宋体" w:cs="宋体"/>
                <w:bCs/>
                <w:color w:val="auto"/>
                <w:sz w:val="21"/>
                <w:szCs w:val="21"/>
                <w:highlight w:val="none"/>
                <w:lang w:eastAsia="zh-CN"/>
              </w:rPr>
              <w:t>。</w:t>
            </w:r>
          </w:p>
        </w:tc>
      </w:tr>
    </w:tbl>
    <w:p w14:paraId="5A680190">
      <w:pPr>
        <w:spacing w:line="360" w:lineRule="auto"/>
        <w:ind w:firstLine="420" w:firstLineChars="200"/>
        <w:rPr>
          <w:rFonts w:hint="eastAsia" w:ascii="宋体" w:hAnsi="宋体" w:eastAsia="宋体"/>
          <w:color w:val="auto"/>
          <w:highlight w:val="none"/>
        </w:rPr>
      </w:pPr>
    </w:p>
    <w:p w14:paraId="1102FFA4">
      <w:pPr>
        <w:widowControl/>
        <w:jc w:val="left"/>
        <w:rPr>
          <w:rFonts w:hint="eastAsia" w:ascii="宋体" w:hAnsi="宋体" w:eastAsia="宋体"/>
          <w:color w:val="auto"/>
          <w:highlight w:val="none"/>
        </w:rPr>
      </w:pPr>
      <w:r>
        <w:rPr>
          <w:rFonts w:hint="eastAsia" w:ascii="宋体" w:hAnsi="宋体" w:eastAsia="宋体"/>
          <w:color w:val="auto"/>
          <w:highlight w:val="none"/>
        </w:rPr>
        <w:br w:type="page"/>
      </w:r>
    </w:p>
    <w:p w14:paraId="2E1C929A">
      <w:pPr>
        <w:pStyle w:val="3"/>
        <w:jc w:val="center"/>
        <w:rPr>
          <w:color w:val="auto"/>
          <w:highlight w:val="none"/>
        </w:rPr>
      </w:pPr>
      <w:bookmarkStart w:id="79" w:name="_Toc17831"/>
      <w:r>
        <w:rPr>
          <w:rFonts w:hint="eastAsia"/>
          <w:color w:val="auto"/>
          <w:highlight w:val="none"/>
        </w:rPr>
        <w:t>第四章  评审程序、评审方法和评审标准</w:t>
      </w:r>
      <w:bookmarkEnd w:id="79"/>
    </w:p>
    <w:p w14:paraId="1930F204">
      <w:pPr>
        <w:spacing w:line="360" w:lineRule="auto"/>
        <w:jc w:val="center"/>
        <w:rPr>
          <w:rFonts w:ascii="宋体" w:hAnsi="宋体"/>
          <w:b/>
          <w:color w:val="auto"/>
          <w:sz w:val="32"/>
          <w:szCs w:val="32"/>
          <w:highlight w:val="none"/>
        </w:rPr>
      </w:pPr>
      <w:r>
        <w:rPr>
          <w:rFonts w:hint="eastAsia" w:ascii="宋体" w:hAnsi="宋体"/>
          <w:b/>
          <w:color w:val="auto"/>
          <w:sz w:val="32"/>
          <w:szCs w:val="32"/>
          <w:highlight w:val="none"/>
        </w:rPr>
        <w:t>一、评审程序和评审方法</w:t>
      </w:r>
    </w:p>
    <w:p w14:paraId="05C155A7">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1</w:t>
      </w:r>
      <w:r>
        <w:rPr>
          <w:rFonts w:hint="eastAsia" w:ascii="黑体" w:hAnsi="黑体" w:eastAsia="黑体" w:cs="宋体"/>
          <w:b/>
          <w:bCs/>
          <w:color w:val="auto"/>
          <w:sz w:val="24"/>
          <w:highlight w:val="none"/>
        </w:rPr>
        <w:t>.资格审查</w:t>
      </w:r>
    </w:p>
    <w:p w14:paraId="64FFA51B">
      <w:pPr>
        <w:snapToGrid w:val="0"/>
        <w:spacing w:line="360" w:lineRule="auto"/>
        <w:ind w:firstLine="420" w:firstLineChars="200"/>
        <w:rPr>
          <w:rFonts w:ascii="宋体" w:hAnsi="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.1</w:t>
      </w:r>
      <w:r>
        <w:rPr>
          <w:rFonts w:hint="eastAsia" w:ascii="宋体" w:hAnsi="宋体"/>
          <w:color w:val="auto"/>
          <w:szCs w:val="21"/>
          <w:highlight w:val="none"/>
        </w:rPr>
        <w:t>响应文件开启后，磋商小组依法对供应商的资格证明文件进行审查。</w:t>
      </w:r>
    </w:p>
    <w:p w14:paraId="3E6DFAEA">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注：采购人或者采购代理机构在资格审查结束前，对供应商进行信用查询。</w:t>
      </w:r>
    </w:p>
    <w:p w14:paraId="1C3FB163">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（1）查询渠道：“信用中国”网站(www.creditchina.gov.cn) 、中国政府采购网(www.ccgp.gov.cn)。</w:t>
      </w:r>
    </w:p>
    <w:p w14:paraId="5284D64A">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（2）信用查询截止时点：资格审查结束前。</w:t>
      </w:r>
    </w:p>
    <w:p w14:paraId="4D1DBEFB">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查询记录和证据留存方式：在查询网站中直接打印查询记录，打印材料作为评审资料保存。</w:t>
      </w:r>
    </w:p>
    <w:p w14:paraId="093484D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（3）信用信息使用规则：对在“信用中国”网站(www.creditchina.gov.cn)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资格审查不通过，不得参与采购活动。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ED81367">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.2资格审查标准为本磋商文件中载明对供应商资格要求的条件。资格审查采用合格制，凡符合磋商文件规定的供应商资格要求的响应文件均通过资格审查。</w:t>
      </w:r>
    </w:p>
    <w:p w14:paraId="026D2938">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.3供应商有下列情形之一的，资格审查不通过，其响应文件按无效响应处理：</w:t>
      </w:r>
    </w:p>
    <w:p w14:paraId="30D2F1CE">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）不具备磋商文件中规定的资格要求的；</w:t>
      </w:r>
    </w:p>
    <w:p w14:paraId="279348F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）响应文件未提供任一项“供应商须知前附表”资格证明文件规定的“必须提供”的文件资料的；</w:t>
      </w:r>
    </w:p>
    <w:p w14:paraId="586360D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）响应文件提供的资格证明文件出现任一项不符合“供应商须知前附表”资格证明文件规定的“必须提供”的文件资料要求或者无效的。</w:t>
      </w:r>
    </w:p>
    <w:p w14:paraId="7786A630">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.4通过资格审查的合格供应商不足3家的，不得进入符合性审查环节，</w:t>
      </w:r>
      <w:r>
        <w:rPr>
          <w:rFonts w:hint="eastAsia" w:ascii="宋体" w:hAnsi="宋体"/>
          <w:color w:val="auto"/>
          <w:szCs w:val="21"/>
          <w:highlight w:val="none"/>
        </w:rPr>
        <w:t>采购人或者采购代理机构应当重新开展采购活动。</w:t>
      </w:r>
    </w:p>
    <w:p w14:paraId="03A28557">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2</w:t>
      </w:r>
      <w:r>
        <w:rPr>
          <w:rFonts w:hint="eastAsia" w:ascii="黑体" w:hAnsi="黑体" w:eastAsia="黑体" w:cs="宋体"/>
          <w:b/>
          <w:bCs/>
          <w:color w:val="auto"/>
          <w:sz w:val="24"/>
          <w:highlight w:val="none"/>
        </w:rPr>
        <w:t>.符合性审查</w:t>
      </w:r>
    </w:p>
    <w:p w14:paraId="0CE1FE80">
      <w:pPr>
        <w:spacing w:line="360" w:lineRule="auto"/>
        <w:ind w:firstLine="420" w:firstLineChars="200"/>
        <w:rPr>
          <w:rFonts w:ascii="宋体" w:hAnsi="宋体" w:cs="宋体"/>
          <w:color w:val="auto"/>
          <w:szCs w:val="21"/>
          <w:highlight w:val="none"/>
        </w:rPr>
      </w:pPr>
      <w:bookmarkStart w:id="80" w:name="_Hlk42528882"/>
      <w:r>
        <w:rPr>
          <w:rFonts w:ascii="宋体" w:hAnsi="宋体" w:cs="宋体"/>
          <w:color w:val="auto"/>
          <w:szCs w:val="21"/>
          <w:highlight w:val="none"/>
        </w:rPr>
        <w:t>2.1</w:t>
      </w:r>
      <w:r>
        <w:rPr>
          <w:rFonts w:hint="eastAsia" w:ascii="宋体" w:hAnsi="宋体" w:cs="宋体"/>
          <w:color w:val="auto"/>
          <w:szCs w:val="21"/>
          <w:highlight w:val="none"/>
        </w:rPr>
        <w:t>由磋商小组对</w:t>
      </w:r>
      <w:r>
        <w:rPr>
          <w:rFonts w:hint="eastAsia" w:ascii="宋体" w:hAnsi="宋体"/>
          <w:color w:val="auto"/>
          <w:szCs w:val="21"/>
          <w:highlight w:val="none"/>
        </w:rPr>
        <w:t>通过资格审查的合格供应商</w:t>
      </w:r>
      <w:r>
        <w:rPr>
          <w:rFonts w:hint="eastAsia" w:ascii="宋体" w:hAnsi="宋体" w:cs="宋体"/>
          <w:color w:val="auto"/>
          <w:szCs w:val="21"/>
          <w:highlight w:val="none"/>
        </w:rPr>
        <w:t>的响应文件的竞标报价、商务、技术等实质性要求进行符合性审查，以确定其是否满足磋商文件的实质性要求。</w:t>
      </w:r>
    </w:p>
    <w:bookmarkEnd w:id="80"/>
    <w:p w14:paraId="54ED2833">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2.2</w:t>
      </w:r>
      <w:r>
        <w:rPr>
          <w:rFonts w:hint="eastAsia" w:ascii="宋体" w:hAnsi="宋体" w:cs="宋体"/>
          <w:color w:val="auto"/>
          <w:szCs w:val="21"/>
          <w:highlight w:val="none"/>
        </w:rPr>
        <w:t>磋商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92C131B">
      <w:pPr>
        <w:spacing w:line="360" w:lineRule="auto"/>
        <w:ind w:firstLine="420" w:firstLineChars="200"/>
        <w:rPr>
          <w:rFonts w:ascii="宋体" w:hAnsi="宋体" w:cs="宋体"/>
          <w:color w:val="auto"/>
          <w:spacing w:val="-6"/>
          <w:szCs w:val="21"/>
          <w:highlight w:val="none"/>
        </w:rPr>
      </w:pPr>
      <w:r>
        <w:rPr>
          <w:rFonts w:ascii="宋体" w:hAnsi="宋体" w:cs="宋体"/>
          <w:color w:val="auto"/>
          <w:szCs w:val="21"/>
          <w:highlight w:val="none"/>
        </w:rPr>
        <w:t>2</w:t>
      </w: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磋商小组要求供应商澄清、说明或者更正响应文件应当以书面形式作出。供应商的澄清、说明或者更正应当以书面形式按照磋商小组的要求作出明确的澄清、说明或者更正，未按磋商小组的要求作出明确澄清、说明或者更正的供应商的响应文件将按照有利于采购人的原则由磋商小组进行判定。供应商的澄清、说明或者更正必须由法定代表人或者其授权代表签字或者加盖公章。由委托代理人签字的，</w:t>
      </w:r>
      <w:r>
        <w:rPr>
          <w:rFonts w:hint="eastAsia" w:ascii="宋体" w:hAnsi="宋体" w:cs="宋体"/>
          <w:bCs/>
          <w:color w:val="auto"/>
          <w:szCs w:val="21"/>
          <w:highlight w:val="none"/>
        </w:rPr>
        <w:t>若委托代理人不是响应文件中授权的委托代理人时，必须同时出示有效的法定代表人授权委托书原件</w:t>
      </w:r>
      <w:r>
        <w:rPr>
          <w:rFonts w:hint="eastAsia" w:ascii="宋体" w:hAnsi="宋体" w:cs="宋体"/>
          <w:color w:val="auto"/>
          <w:spacing w:val="-6"/>
          <w:szCs w:val="21"/>
          <w:highlight w:val="none"/>
        </w:rPr>
        <w:t>。供应商为自然人的，必须由本人签字并附身份证明。</w:t>
      </w:r>
    </w:p>
    <w:p w14:paraId="1AE5BFD6">
      <w:pPr>
        <w:spacing w:line="360" w:lineRule="auto"/>
        <w:ind w:firstLine="396" w:firstLineChars="200"/>
        <w:rPr>
          <w:rFonts w:ascii="宋体" w:hAnsi="宋体" w:cs="宋体"/>
          <w:color w:val="auto"/>
          <w:szCs w:val="21"/>
          <w:highlight w:val="none"/>
        </w:rPr>
      </w:pPr>
      <w:r>
        <w:rPr>
          <w:rFonts w:ascii="宋体" w:hAnsi="宋体" w:cs="宋体"/>
          <w:color w:val="auto"/>
          <w:spacing w:val="-6"/>
          <w:szCs w:val="21"/>
          <w:highlight w:val="none"/>
        </w:rPr>
        <w:t>2.4</w:t>
      </w:r>
      <w:r>
        <w:rPr>
          <w:rFonts w:hint="eastAsia" w:ascii="宋体" w:hAnsi="宋体" w:cs="宋体"/>
          <w:color w:val="auto"/>
          <w:szCs w:val="21"/>
          <w:highlight w:val="none"/>
        </w:rPr>
        <w:t xml:space="preserve">首次响应文件报价出现前后不一致的，按照下列规定修正： </w:t>
      </w:r>
    </w:p>
    <w:p w14:paraId="7AFD441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（1）响应文件中报价表内容与响应文件中相应内容不一致的，以报价表为准；</w:t>
      </w:r>
    </w:p>
    <w:p w14:paraId="612A0DE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（2）大写金额和小写金额不一致的，以大写金额为准；</w:t>
      </w:r>
    </w:p>
    <w:p w14:paraId="2564585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（3）单价金额小数点或者百分比有明显错位的，以报价表的总价为准，并修改单价；</w:t>
      </w:r>
    </w:p>
    <w:p w14:paraId="159D0FD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（4）总价金额与按单价汇总金额不一致的，以单价金额计算结果为准。</w:t>
      </w:r>
    </w:p>
    <w:p w14:paraId="4576757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同时出现两种以上不一致的，按照以上（1）-（4）规定的顺序逐条进行修正。修正后的报价经供应商确认后产生约束力，供应商不确认的，其响应文件按无效响应处理。</w:t>
      </w:r>
    </w:p>
    <w:p w14:paraId="6C852A73">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w:t>
      </w: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商务技术报价评审</w:t>
      </w:r>
    </w:p>
    <w:p w14:paraId="4BBA5DE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在评审时，如发现下列情形之一的，将被视为响应文件无效处理：</w:t>
      </w:r>
    </w:p>
    <w:p w14:paraId="47B18F4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（1）商务技术评审</w:t>
      </w:r>
    </w:p>
    <w:p w14:paraId="01D29C9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1）提供响应文件正、副本数量不足；</w:t>
      </w:r>
    </w:p>
    <w:p w14:paraId="07CF1C9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2）响应文件未按磋商文件要求签署、盖章；</w:t>
      </w:r>
    </w:p>
    <w:p w14:paraId="2F8963E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3）委托代理人未能出具有效身份证明或者出具的身份证明与授权委托书中的信息不符； </w:t>
      </w:r>
    </w:p>
    <w:p w14:paraId="44C9FCC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4）提交的磋商保证金无效的或者未按照磋商文件的规定提交磋商保证金；</w:t>
      </w:r>
    </w:p>
    <w:p w14:paraId="13F362E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5）响应文件未提供任一项“供应商须知前附表” 报价商务技术文件中 “必须提供”或者“委托时必须提供”的文件资料；响应文件提供的报价商务技术文件出现任一项不符合“供应商须知前附表” 报价商务技术文件中 “必须提供”或者“委托时必须提供”文件资料要求的规定或者提供的报价商务技术文件无效。</w:t>
      </w:r>
    </w:p>
    <w:p w14:paraId="7B252834">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6</w:t>
      </w:r>
      <w:r>
        <w:rPr>
          <w:rFonts w:hint="eastAsia" w:ascii="宋体" w:hAnsi="宋体" w:cs="宋体"/>
          <w:color w:val="auto"/>
          <w:szCs w:val="21"/>
          <w:highlight w:val="none"/>
        </w:rPr>
        <w:t>）商务条款中标“▲”的条款发生负偏离的或者允许负偏离的条款数超过“供应商须知前附表”规定项数的或者标明实质性的要求发生负偏离；</w:t>
      </w:r>
    </w:p>
    <w:p w14:paraId="5B844441">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7</w:t>
      </w:r>
      <w:r>
        <w:rPr>
          <w:rFonts w:hint="eastAsia" w:ascii="宋体" w:hAnsi="宋体" w:cs="宋体"/>
          <w:color w:val="auto"/>
          <w:szCs w:val="21"/>
          <w:highlight w:val="none"/>
        </w:rPr>
        <w:t>）未对竞标有效期作出响应或者响应文件承诺的竞标有效期不满足磋商文件要求；</w:t>
      </w:r>
    </w:p>
    <w:p w14:paraId="7C3B6B12">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8</w:t>
      </w:r>
      <w:r>
        <w:rPr>
          <w:rFonts w:hint="eastAsia" w:ascii="宋体" w:hAnsi="宋体" w:cs="宋体"/>
          <w:color w:val="auto"/>
          <w:szCs w:val="21"/>
          <w:highlight w:val="none"/>
        </w:rPr>
        <w:t>）响应文件的实质性内容未使用中文表述、使用计量单位不符合磋商文件要求；</w:t>
      </w:r>
    </w:p>
    <w:p w14:paraId="0E877C3E">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9</w:t>
      </w:r>
      <w:r>
        <w:rPr>
          <w:rFonts w:hint="eastAsia" w:ascii="宋体" w:hAnsi="宋体" w:cs="宋体"/>
          <w:color w:val="auto"/>
          <w:szCs w:val="21"/>
          <w:highlight w:val="none"/>
        </w:rPr>
        <w:t>）响应文件中的文件资料因填写不齐全或者内容虚假或者出现其他情形而导致被磋商小组认定无效；</w:t>
      </w:r>
    </w:p>
    <w:p w14:paraId="7EB5FCCF">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10</w:t>
      </w:r>
      <w:r>
        <w:rPr>
          <w:rFonts w:hint="eastAsia" w:ascii="宋体" w:hAnsi="宋体" w:cs="宋体"/>
          <w:color w:val="auto"/>
          <w:szCs w:val="21"/>
          <w:highlight w:val="none"/>
        </w:rPr>
        <w:t>）响应文件含有采购人不能接受的附加条件；</w:t>
      </w:r>
    </w:p>
    <w:p w14:paraId="26B08A6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1</w:t>
      </w:r>
      <w:r>
        <w:rPr>
          <w:rFonts w:hint="eastAsia" w:ascii="宋体" w:hAnsi="宋体" w:cs="宋体"/>
          <w:color w:val="auto"/>
          <w:szCs w:val="21"/>
          <w:highlight w:val="none"/>
        </w:rPr>
        <w:t>）属于“供应商须知正文”第7.</w:t>
      </w:r>
      <w:r>
        <w:rPr>
          <w:rFonts w:ascii="宋体" w:hAnsi="宋体" w:cs="宋体"/>
          <w:color w:val="auto"/>
          <w:szCs w:val="21"/>
          <w:highlight w:val="none"/>
        </w:rPr>
        <w:t>5</w:t>
      </w:r>
      <w:r>
        <w:rPr>
          <w:rFonts w:hint="eastAsia" w:ascii="宋体" w:hAnsi="宋体" w:cs="宋体"/>
          <w:color w:val="auto"/>
          <w:szCs w:val="21"/>
          <w:highlight w:val="none"/>
        </w:rPr>
        <w:t>条情形；</w:t>
      </w:r>
    </w:p>
    <w:p w14:paraId="5DBB9A44">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2）技术需求允许负偏离的条款数超过“供应商须知前附表”规定项数；</w:t>
      </w:r>
    </w:p>
    <w:p w14:paraId="011A09A9">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3）虚假竞标，或者出现其他情形而导致被磋商小组认定无效；</w:t>
      </w:r>
    </w:p>
    <w:p w14:paraId="5EF13B89">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4）竞标技术方案不明确，磋商文件未允许</w:t>
      </w:r>
      <w:r>
        <w:rPr>
          <w:rFonts w:hint="eastAsia" w:ascii="宋体" w:hAnsi="宋体"/>
          <w:color w:val="auto"/>
          <w:szCs w:val="21"/>
          <w:highlight w:val="none"/>
        </w:rPr>
        <w:t>但响应文件中</w:t>
      </w:r>
      <w:r>
        <w:rPr>
          <w:rFonts w:hint="eastAsia" w:ascii="宋体" w:hAnsi="宋体" w:cs="宋体"/>
          <w:color w:val="auto"/>
          <w:szCs w:val="21"/>
          <w:highlight w:val="none"/>
        </w:rPr>
        <w:t>存在一个或者一个以上备选（替代）竞标方案；</w:t>
      </w:r>
    </w:p>
    <w:p w14:paraId="6785D7E0">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15</w:t>
      </w:r>
      <w:r>
        <w:rPr>
          <w:rFonts w:hint="eastAsia" w:ascii="宋体" w:hAnsi="宋体" w:cs="宋体"/>
          <w:color w:val="auto"/>
          <w:szCs w:val="21"/>
          <w:highlight w:val="none"/>
        </w:rPr>
        <w:t>）响应文件标注的项目名称或者项目编号与竞争性磋商文件标注的项目名称或者项目编号不一致的；</w:t>
      </w:r>
    </w:p>
    <w:p w14:paraId="14B7A144">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1</w:t>
      </w:r>
      <w:r>
        <w:rPr>
          <w:rFonts w:hint="eastAsia" w:ascii="宋体" w:hAnsi="宋体" w:cs="宋体"/>
          <w:color w:val="auto"/>
          <w:szCs w:val="21"/>
          <w:highlight w:val="none"/>
        </w:rPr>
        <w:t>6）未响应磋商文件实质性要求；</w:t>
      </w:r>
    </w:p>
    <w:p w14:paraId="63B26EF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7</w:t>
      </w:r>
      <w:r>
        <w:rPr>
          <w:rFonts w:hint="eastAsia" w:ascii="宋体" w:hAnsi="宋体" w:cs="宋体"/>
          <w:color w:val="auto"/>
          <w:szCs w:val="21"/>
          <w:highlight w:val="none"/>
        </w:rPr>
        <w:t>）法律、法规和磋商文件规定的其他无效情形。</w:t>
      </w:r>
    </w:p>
    <w:p w14:paraId="4F57DB9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）报价评审</w:t>
      </w:r>
    </w:p>
    <w:p w14:paraId="788FEBD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ascii="宋体" w:hAnsi="宋体" w:cs="宋体"/>
          <w:color w:val="auto"/>
          <w:szCs w:val="21"/>
          <w:highlight w:val="none"/>
        </w:rPr>
        <w:t xml:space="preserve"> </w:t>
      </w:r>
      <w:r>
        <w:rPr>
          <w:rFonts w:hint="eastAsia" w:ascii="宋体" w:hAnsi="宋体" w:cs="宋体"/>
          <w:color w:val="auto"/>
          <w:szCs w:val="21"/>
          <w:highlight w:val="none"/>
        </w:rPr>
        <w:t>响应文件未提供“供应商须知前附表” 报价商务技术文件中规定的“竞标报价表”；</w:t>
      </w:r>
    </w:p>
    <w:p w14:paraId="4458B6C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2）未采用人民币报价或者未按照磋商文件标明的币种报价；</w:t>
      </w:r>
    </w:p>
    <w:p w14:paraId="1A69F32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供应商未就所竞标分标进行报价或者存在漏项报价；供应商未就所竞标分标的单项内容作唯一报价；供应商未就所竞标分标的全部内容作唯一总价报价；供应商响应文件中存在有选择、有条件报价的（磋商文件允许有备选方案或者其他约定的除外）；</w:t>
      </w:r>
    </w:p>
    <w:p w14:paraId="6DA1CB6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4）竞标报价（包含首次报价、最后报价）超过所竞标分标规定的采购预算金额或者最高限价的（如本项目公布了最高限价）；</w:t>
      </w:r>
      <w:bookmarkStart w:id="81" w:name="_Hlk42596405"/>
      <w:r>
        <w:rPr>
          <w:rFonts w:hint="eastAsia" w:ascii="宋体" w:hAnsi="宋体" w:cs="宋体"/>
          <w:color w:val="auto"/>
          <w:szCs w:val="21"/>
          <w:highlight w:val="none"/>
        </w:rPr>
        <w:t>竞标报价（包含首次报价、最后报价）</w:t>
      </w:r>
      <w:bookmarkEnd w:id="81"/>
      <w:bookmarkStart w:id="82" w:name="_Hlk42596276"/>
      <w:r>
        <w:rPr>
          <w:rFonts w:hint="eastAsia" w:ascii="宋体" w:hAnsi="宋体" w:cs="宋体"/>
          <w:color w:val="auto"/>
          <w:szCs w:val="21"/>
          <w:highlight w:val="none"/>
        </w:rPr>
        <w:t>超过磋商文件分项采购预算金额或者最高限价的</w:t>
      </w:r>
      <w:bookmarkEnd w:id="82"/>
      <w:r>
        <w:rPr>
          <w:rFonts w:hint="eastAsia" w:ascii="宋体" w:hAnsi="宋体" w:cs="宋体"/>
          <w:color w:val="auto"/>
          <w:szCs w:val="21"/>
          <w:highlight w:val="none"/>
        </w:rPr>
        <w:t>（如本项目公布了最高限价）；</w:t>
      </w:r>
    </w:p>
    <w:p w14:paraId="7304022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修正后的报价，供应商不确认的；或者经供应商确认修正后的竞标报价（包含首次报价、最后报价）超过所竞标分标规定的采购预算金额或者最高限价（如本项目公布了最高限价）；或者经供应商确认修正后竞标报价（包含首次报价、最后报价）超过磋商文件分项采购预算金额或者最高限价的（如本项目公布了最高限价）。</w:t>
      </w:r>
    </w:p>
    <w:p w14:paraId="7BD3A21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olor w:val="auto"/>
          <w:szCs w:val="21"/>
          <w:highlight w:val="none"/>
        </w:rPr>
        <w:t>响应文件响应的标的数量及单位与竞争性磋商采购文件要求实质性不一致的。</w:t>
      </w:r>
    </w:p>
    <w:p w14:paraId="00FEBD1B">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2.6</w:t>
      </w:r>
      <w:r>
        <w:rPr>
          <w:rFonts w:hint="eastAsia" w:ascii="宋体" w:hAnsi="宋体" w:cs="宋体"/>
          <w:color w:val="auto"/>
          <w:szCs w:val="21"/>
          <w:highlight w:val="none"/>
        </w:rPr>
        <w:t>磋商小组对响应文件进行评审，未实质性响应磋商文件的响应文件按无效处理，磋商小组应当将资格和符合性不通过的情况告知有关供应商。磋商小组从符合磋商文件规定的相应资格条件的供应商名单中确定不少于3家的供应商参加磋商。</w:t>
      </w:r>
    </w:p>
    <w:p w14:paraId="47A95973">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2.7</w:t>
      </w:r>
      <w:r>
        <w:rPr>
          <w:rFonts w:hint="eastAsia" w:ascii="宋体" w:hAnsi="宋体"/>
          <w:color w:val="auto"/>
          <w:szCs w:val="21"/>
          <w:highlight w:val="none"/>
        </w:rPr>
        <w:t>通过符合性审查的合格供应商不足3家的，不得进入磋商环节，采购人或者采购代理机构应当重新开展采购活动。</w:t>
      </w:r>
    </w:p>
    <w:p w14:paraId="46D963CD">
      <w:pPr>
        <w:spacing w:line="360" w:lineRule="auto"/>
        <w:ind w:firstLine="482" w:firstLineChars="200"/>
        <w:rPr>
          <w:rFonts w:ascii="黑体" w:hAnsi="黑体" w:eastAsia="黑体" w:cs="宋体"/>
          <w:b/>
          <w:bCs/>
          <w:color w:val="auto"/>
          <w:sz w:val="24"/>
          <w:highlight w:val="none"/>
        </w:rPr>
      </w:pPr>
      <w:r>
        <w:rPr>
          <w:rFonts w:ascii="黑体" w:hAnsi="黑体" w:eastAsia="黑体" w:cs="宋体"/>
          <w:b/>
          <w:bCs/>
          <w:color w:val="auto"/>
          <w:sz w:val="24"/>
          <w:highlight w:val="none"/>
        </w:rPr>
        <w:t>3</w:t>
      </w:r>
      <w:r>
        <w:rPr>
          <w:rFonts w:hint="eastAsia" w:ascii="黑体" w:hAnsi="黑体" w:eastAsia="黑体" w:cs="宋体"/>
          <w:b/>
          <w:bCs/>
          <w:color w:val="auto"/>
          <w:sz w:val="24"/>
          <w:highlight w:val="none"/>
        </w:rPr>
        <w:t>.磋商程序</w:t>
      </w:r>
    </w:p>
    <w:p w14:paraId="1CD6784E">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w:t>
      </w:r>
      <w:r>
        <w:rPr>
          <w:rFonts w:ascii="宋体" w:hAnsi="宋体" w:cs="宋体"/>
          <w:color w:val="auto"/>
          <w:kern w:val="0"/>
          <w:szCs w:val="21"/>
          <w:highlight w:val="none"/>
        </w:rPr>
        <w:t>.1</w:t>
      </w:r>
      <w:r>
        <w:rPr>
          <w:rFonts w:hint="eastAsia" w:ascii="宋体" w:hAnsi="宋体" w:cs="宋体"/>
          <w:color w:val="auto"/>
          <w:kern w:val="0"/>
          <w:szCs w:val="21"/>
          <w:highlight w:val="none"/>
        </w:rPr>
        <w:t>磋商小组按照“供应商须知前附表”</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确定的</w:t>
      </w:r>
      <w:r>
        <w:rPr>
          <w:rFonts w:hint="eastAsia" w:ascii="宋体" w:hAnsi="宋体" w:cs="宋体"/>
          <w:color w:val="auto"/>
          <w:szCs w:val="21"/>
          <w:highlight w:val="none"/>
        </w:rPr>
        <w:t>顺序，集中与单一供应商分别进行磋商，并给予所有参加磋商的供应商平等的磋商机会。符合磋商资格的供应商必须在接到磋商通知后规定时间内参加磋商，未在规定时间内参加磋商的视同放弃参加磋商权利，其响应文件按无效响应处理。</w:t>
      </w:r>
    </w:p>
    <w:p w14:paraId="6AD21117">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3.2</w:t>
      </w:r>
      <w:r>
        <w:rPr>
          <w:rFonts w:hint="eastAsia" w:ascii="宋体" w:hAnsi="宋体" w:cs="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可能实质性变动的内容为采购需求中的技术、服务要求以及合同草案条款。</w:t>
      </w:r>
    </w:p>
    <w:p w14:paraId="17E68782">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3.3</w:t>
      </w:r>
      <w:r>
        <w:rPr>
          <w:rFonts w:hint="eastAsia" w:ascii="宋体" w:hAnsi="宋体" w:cs="宋体"/>
          <w:color w:val="auto"/>
          <w:szCs w:val="21"/>
          <w:highlight w:val="none"/>
        </w:rPr>
        <w:t>对磋商文件作出的实质性变动是磋商文件的有效组成部分，由磋商小组及时以书面形式同时通知所有参加磋商的供应商。</w:t>
      </w:r>
    </w:p>
    <w:p w14:paraId="01E94C4A">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3.4</w:t>
      </w:r>
      <w:r>
        <w:rPr>
          <w:rFonts w:hint="eastAsia" w:ascii="宋体" w:hAnsi="宋体" w:cs="宋体"/>
          <w:color w:val="auto"/>
          <w:szCs w:val="21"/>
          <w:highlight w:val="none"/>
        </w:rPr>
        <w:t>供应商必须按照磋商文件的变动情况和磋商小组的要求重新提交响应文件，并由其法定代表人或者授权代表签字或者加盖公章。由委托代理人签字的，</w:t>
      </w:r>
      <w:r>
        <w:rPr>
          <w:rFonts w:hint="eastAsia" w:ascii="宋体" w:hAnsi="宋体" w:cs="宋体"/>
          <w:bCs/>
          <w:color w:val="auto"/>
          <w:szCs w:val="21"/>
          <w:highlight w:val="none"/>
        </w:rPr>
        <w:t>若委托代理人不是响应文件中授权的委托代理人时，必须同时出示有效的法定代表人授权委托书原件</w:t>
      </w:r>
      <w:r>
        <w:rPr>
          <w:rFonts w:hint="eastAsia" w:ascii="宋体" w:hAnsi="宋体" w:cs="宋体"/>
          <w:color w:val="auto"/>
          <w:szCs w:val="21"/>
          <w:highlight w:val="none"/>
        </w:rPr>
        <w:t>。供应商为自然人的，必须由本人签字并附身份证明。参加磋商的供应商未在规定时间内重新提交响应文件的，视同退出磋商。</w:t>
      </w:r>
    </w:p>
    <w:p w14:paraId="6E205FFD">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3.5</w:t>
      </w:r>
      <w:r>
        <w:rPr>
          <w:rFonts w:hint="eastAsia" w:ascii="宋体" w:hAnsi="宋体" w:cs="宋体"/>
          <w:color w:val="auto"/>
          <w:szCs w:val="21"/>
          <w:highlight w:val="none"/>
        </w:rPr>
        <w:t>磋商中，</w:t>
      </w:r>
      <w:r>
        <w:rPr>
          <w:rFonts w:hint="eastAsia" w:ascii="宋体" w:hAnsi="宋体" w:cs="宋体"/>
          <w:color w:val="auto"/>
          <w:spacing w:val="-6"/>
          <w:szCs w:val="21"/>
          <w:highlight w:val="none"/>
        </w:rPr>
        <w:t>磋商的任何一方不得透露与磋商有关的其他供应商的技术资料、价格和其他信息。</w:t>
      </w:r>
    </w:p>
    <w:p w14:paraId="6B0F5416">
      <w:pPr>
        <w:widowControl/>
        <w:tabs>
          <w:tab w:val="left" w:pos="540"/>
        </w:tabs>
        <w:spacing w:line="360" w:lineRule="auto"/>
        <w:ind w:firstLine="420" w:firstLineChars="200"/>
        <w:jc w:val="left"/>
        <w:rPr>
          <w:rFonts w:ascii="宋体" w:hAnsi="宋体" w:cs="宋体"/>
          <w:color w:val="auto"/>
          <w:szCs w:val="21"/>
          <w:highlight w:val="none"/>
        </w:rPr>
      </w:pPr>
      <w:r>
        <w:rPr>
          <w:rFonts w:ascii="宋体" w:hAnsi="宋体" w:cs="宋体"/>
          <w:color w:val="auto"/>
          <w:szCs w:val="21"/>
          <w:highlight w:val="none"/>
        </w:rPr>
        <w:t>3.6</w:t>
      </w:r>
      <w:r>
        <w:rPr>
          <w:rFonts w:hint="eastAsia" w:ascii="宋体" w:hAnsi="宋体" w:cs="宋体"/>
          <w:color w:val="auto"/>
          <w:szCs w:val="21"/>
          <w:highlight w:val="none"/>
        </w:rPr>
        <w:t>采购代理机构对磋商过程和重要磋商内容进行记录，磋商双方在记录上签字确认。</w:t>
      </w:r>
    </w:p>
    <w:p w14:paraId="4619C568">
      <w:pPr>
        <w:widowControl/>
        <w:tabs>
          <w:tab w:val="left" w:pos="540"/>
        </w:tabs>
        <w:spacing w:line="360" w:lineRule="auto"/>
        <w:ind w:firstLine="420" w:firstLineChars="200"/>
        <w:jc w:val="left"/>
        <w:rPr>
          <w:rFonts w:ascii="宋体" w:hAnsi="宋体" w:cs="宋体"/>
          <w:color w:val="auto"/>
          <w:szCs w:val="21"/>
          <w:highlight w:val="none"/>
        </w:rPr>
      </w:pPr>
      <w:r>
        <w:rPr>
          <w:rFonts w:ascii="宋体" w:hAnsi="宋体" w:cs="宋体"/>
          <w:color w:val="auto"/>
          <w:szCs w:val="21"/>
          <w:highlight w:val="none"/>
        </w:rPr>
        <w:t>3.7</w:t>
      </w:r>
      <w:r>
        <w:rPr>
          <w:rFonts w:hint="eastAsia" w:ascii="宋体" w:hAnsi="宋体" w:cs="宋体"/>
          <w:color w:val="auto"/>
          <w:szCs w:val="21"/>
          <w:highlight w:val="none"/>
        </w:rPr>
        <w:t>磋商过程中重新提交的响应文件，供应商可以在开启前补充、修改。</w:t>
      </w:r>
    </w:p>
    <w:p w14:paraId="65B6F288">
      <w:pPr>
        <w:tabs>
          <w:tab w:val="left" w:pos="2835"/>
        </w:tabs>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3.8</w:t>
      </w:r>
      <w:r>
        <w:rPr>
          <w:rFonts w:hint="eastAsia" w:ascii="宋体" w:hAnsi="宋体"/>
          <w:color w:val="auto"/>
          <w:szCs w:val="21"/>
          <w:highlight w:val="none"/>
        </w:rPr>
        <w:t>对磋商过程提交的响应文件进行有效性、完整性和响应程度审查，通过审查的合格供应商不足3家的，采购人或者采购代理机构应当重新开展采购活动。</w:t>
      </w:r>
    </w:p>
    <w:p w14:paraId="36833DBF">
      <w:pPr>
        <w:spacing w:line="360" w:lineRule="auto"/>
        <w:ind w:firstLine="482" w:firstLineChars="200"/>
        <w:rPr>
          <w:rFonts w:ascii="宋体" w:hAnsi="宋体" w:cs="宋体"/>
          <w:color w:val="auto"/>
          <w:szCs w:val="21"/>
          <w:highlight w:val="none"/>
        </w:rPr>
      </w:pPr>
      <w:r>
        <w:rPr>
          <w:rFonts w:ascii="黑体" w:hAnsi="黑体" w:eastAsia="黑体" w:cs="宋体"/>
          <w:b/>
          <w:bCs/>
          <w:color w:val="auto"/>
          <w:sz w:val="24"/>
          <w:highlight w:val="none"/>
        </w:rPr>
        <w:t>4.</w:t>
      </w:r>
      <w:r>
        <w:rPr>
          <w:rFonts w:hint="eastAsia" w:ascii="黑体" w:hAnsi="黑体" w:eastAsia="黑体" w:cs="宋体"/>
          <w:b/>
          <w:bCs/>
          <w:color w:val="auto"/>
          <w:sz w:val="24"/>
          <w:highlight w:val="none"/>
        </w:rPr>
        <w:t xml:space="preserve"> 最后报价</w:t>
      </w:r>
    </w:p>
    <w:p w14:paraId="63E4A94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w:t>
      </w:r>
      <w:r>
        <w:rPr>
          <w:rFonts w:ascii="宋体" w:hAnsi="宋体" w:cs="宋体"/>
          <w:color w:val="auto"/>
          <w:szCs w:val="21"/>
          <w:highlight w:val="none"/>
        </w:rPr>
        <w:t>.1</w:t>
      </w:r>
      <w:r>
        <w:rPr>
          <w:rFonts w:hint="eastAsia" w:ascii="宋体" w:hAnsi="宋体" w:cs="宋体"/>
          <w:color w:val="auto"/>
          <w:szCs w:val="21"/>
          <w:highlight w:val="none"/>
        </w:rPr>
        <w:t>磋商文件能够详细列明采购标的的技术、服务要求的，磋商结束后，由磋商小组要求所有继续参加磋商的供应商在规定时间内密封提交最后报价，除本章第</w:t>
      </w:r>
      <w:r>
        <w:rPr>
          <w:rFonts w:ascii="宋体" w:hAnsi="宋体" w:cs="宋体"/>
          <w:color w:val="auto"/>
          <w:szCs w:val="21"/>
          <w:highlight w:val="none"/>
        </w:rPr>
        <w:t>4.3</w:t>
      </w:r>
      <w:r>
        <w:rPr>
          <w:rFonts w:hint="eastAsia" w:ascii="宋体" w:hAnsi="宋体" w:cs="宋体"/>
          <w:color w:val="auto"/>
          <w:szCs w:val="21"/>
          <w:highlight w:val="none"/>
        </w:rPr>
        <w:t>条外，提交最后报价的供应商不得少于3家，否则必须重新采购。</w:t>
      </w:r>
    </w:p>
    <w:p w14:paraId="563E909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w:t>
      </w:r>
      <w:r>
        <w:rPr>
          <w:rFonts w:ascii="宋体" w:hAnsi="宋体" w:cs="宋体"/>
          <w:color w:val="auto"/>
          <w:szCs w:val="21"/>
          <w:highlight w:val="none"/>
        </w:rPr>
        <w:t>.2</w:t>
      </w:r>
      <w:r>
        <w:rPr>
          <w:rFonts w:hint="eastAsia" w:ascii="宋体" w:hAnsi="宋体" w:cs="宋体"/>
          <w:color w:val="auto"/>
          <w:szCs w:val="21"/>
          <w:highlight w:val="none"/>
        </w:rPr>
        <w:t>磋商文件不能详细列明采购标的的技术、服务要求，需经磋商由供应商提供最后设计方案或者解决方案的，磋商结束后，由磋商小组按照少数服从多数的原则投票推荐3家以上供应商的设计方案或者解决方案，并要求其在规定时间内密封提交最后报价。</w:t>
      </w:r>
    </w:p>
    <w:p w14:paraId="393DA023">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4.3</w:t>
      </w:r>
      <w:r>
        <w:rPr>
          <w:rFonts w:hint="eastAsia" w:ascii="宋体" w:hAnsi="宋体" w:cs="宋体"/>
          <w:color w:val="auto"/>
          <w:szCs w:val="21"/>
          <w:highlight w:val="none"/>
        </w:rPr>
        <w:t xml:space="preserve"> 最后报价是供应商响应文件的有效组成部分。。</w:t>
      </w:r>
    </w:p>
    <w:p w14:paraId="0C3529CC">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4.4</w:t>
      </w:r>
      <w:r>
        <w:rPr>
          <w:rFonts w:hint="eastAsia" w:ascii="宋体" w:hAnsi="宋体" w:cs="宋体"/>
          <w:color w:val="auto"/>
          <w:szCs w:val="21"/>
          <w:highlight w:val="none"/>
        </w:rPr>
        <w:t>已经提交响应文件的供应商，在提交最后报价之前，可以根据磋商情况退出磋商，退出磋商的供应商的响应文件按无效响应处理。采购人、采购代理机构将退还退出磋商的供应商的保证金。</w:t>
      </w:r>
    </w:p>
    <w:p w14:paraId="6E912ABC">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4.5</w:t>
      </w:r>
      <w:r>
        <w:rPr>
          <w:rFonts w:hint="eastAsia" w:ascii="宋体" w:hAnsi="宋体" w:cs="宋体"/>
          <w:color w:val="auto"/>
          <w:szCs w:val="21"/>
          <w:highlight w:val="none"/>
        </w:rPr>
        <w:t>供应商未在规定时间内提交最后报价的，视同退出磋商。</w:t>
      </w:r>
    </w:p>
    <w:p w14:paraId="52214DE8">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4.6</w:t>
      </w:r>
      <w:r>
        <w:rPr>
          <w:rFonts w:hint="eastAsia" w:ascii="宋体" w:hAnsi="宋体" w:cs="宋体"/>
          <w:color w:val="auto"/>
          <w:szCs w:val="21"/>
          <w:highlight w:val="none"/>
        </w:rPr>
        <w:t>磋商小组收齐某一分标最后报价后统一开启，磋商小组对最后报价进行有效性、完整性和响应程度的审查。</w:t>
      </w:r>
    </w:p>
    <w:p w14:paraId="62B68E6D">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4.7</w:t>
      </w:r>
      <w:r>
        <w:rPr>
          <w:rFonts w:hint="eastAsia" w:ascii="宋体" w:hAnsi="宋体" w:cs="宋体"/>
          <w:color w:val="auto"/>
          <w:szCs w:val="21"/>
          <w:highlight w:val="none"/>
        </w:rPr>
        <w:t>响应文件最后报价出现前后不一致的，按照本章第</w:t>
      </w:r>
      <w:r>
        <w:rPr>
          <w:rFonts w:ascii="宋体" w:hAnsi="宋体" w:cs="宋体"/>
          <w:color w:val="auto"/>
          <w:szCs w:val="21"/>
          <w:highlight w:val="none"/>
        </w:rPr>
        <w:t>2.4</w:t>
      </w:r>
      <w:r>
        <w:rPr>
          <w:rFonts w:hint="eastAsia" w:ascii="宋体" w:hAnsi="宋体" w:cs="宋体"/>
          <w:color w:val="auto"/>
          <w:szCs w:val="21"/>
          <w:highlight w:val="none"/>
        </w:rPr>
        <w:t xml:space="preserve">条的规定修正。 </w:t>
      </w:r>
    </w:p>
    <w:p w14:paraId="1082E0F0">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4.8</w:t>
      </w:r>
      <w:r>
        <w:rPr>
          <w:rFonts w:hint="eastAsia" w:ascii="宋体" w:hAnsi="宋体" w:cs="宋体"/>
          <w:color w:val="auto"/>
          <w:szCs w:val="21"/>
          <w:highlight w:val="none"/>
        </w:rPr>
        <w:t>修正后的报价出现下列情形的，按无效响应处理：</w:t>
      </w:r>
    </w:p>
    <w:p w14:paraId="07FC1BE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（1）供应商不确认的；</w:t>
      </w:r>
    </w:p>
    <w:p w14:paraId="6DC70FA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（2）经供应商确认修正后的竞标报价（包含首次报价、最后报价）超过所竞标分标规定的采购预算金额或者最高限价的（如本项目公布了最高限价）；</w:t>
      </w:r>
    </w:p>
    <w:p w14:paraId="08B1913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（3）经供应商确认修正后的竞标报价（包含首次报价、最后报价）超过分项采购预算金额或者最高限价的（如本项目公布了最高限价）。</w:t>
      </w:r>
    </w:p>
    <w:p w14:paraId="1F1C4FA2">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4.9</w:t>
      </w:r>
      <w:r>
        <w:rPr>
          <w:rFonts w:hint="eastAsia" w:ascii="宋体" w:hAnsi="宋体" w:cs="宋体"/>
          <w:color w:val="auto"/>
          <w:szCs w:val="21"/>
          <w:highlight w:val="none"/>
        </w:rPr>
        <w:t>经供应商确认修正后的最后报价作为评审及签订合同的依据。</w:t>
      </w:r>
    </w:p>
    <w:p w14:paraId="1C27C83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5.10供应商出现最后报价按无效响应处理或者响应文件按无效处理时</w:t>
      </w:r>
      <w:r>
        <w:rPr>
          <w:rFonts w:hint="eastAsia" w:ascii="宋体" w:hAnsi="宋体"/>
          <w:color w:val="auto"/>
          <w:sz w:val="22"/>
          <w:szCs w:val="22"/>
          <w:highlight w:val="none"/>
        </w:rPr>
        <w:t>，磋商小组应当告知有关供应商</w:t>
      </w:r>
      <w:r>
        <w:rPr>
          <w:rFonts w:hint="eastAsia" w:ascii="宋体" w:hAnsi="宋体" w:cs="宋体"/>
          <w:color w:val="auto"/>
          <w:szCs w:val="21"/>
          <w:highlight w:val="none"/>
        </w:rPr>
        <w:t>。</w:t>
      </w:r>
    </w:p>
    <w:p w14:paraId="3D3932C3">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5.1</w:t>
      </w:r>
      <w:r>
        <w:rPr>
          <w:rFonts w:hint="eastAsia" w:ascii="宋体" w:hAnsi="宋体" w:cs="宋体"/>
          <w:color w:val="auto"/>
          <w:szCs w:val="21"/>
          <w:highlight w:val="none"/>
        </w:rPr>
        <w:t>1最后报价结束后，磋商小组不得再与供应商进行任何形式的商谈。</w:t>
      </w:r>
    </w:p>
    <w:p w14:paraId="565D2693">
      <w:pPr>
        <w:spacing w:line="360" w:lineRule="auto"/>
        <w:ind w:firstLine="482" w:firstLineChars="200"/>
        <w:rPr>
          <w:rFonts w:ascii="黑体" w:hAnsi="黑体" w:eastAsia="黑体" w:cs="宋体"/>
          <w:b/>
          <w:bCs/>
          <w:color w:val="auto"/>
          <w:sz w:val="24"/>
          <w:highlight w:val="none"/>
        </w:rPr>
      </w:pPr>
      <w:r>
        <w:rPr>
          <w:rFonts w:hint="eastAsia" w:ascii="黑体" w:hAnsi="黑体" w:eastAsia="黑体" w:cs="宋体"/>
          <w:b/>
          <w:bCs/>
          <w:color w:val="auto"/>
          <w:sz w:val="24"/>
          <w:highlight w:val="none"/>
        </w:rPr>
        <w:t>5</w:t>
      </w:r>
      <w:r>
        <w:rPr>
          <w:rFonts w:ascii="黑体" w:hAnsi="黑体" w:eastAsia="黑体" w:cs="宋体"/>
          <w:b/>
          <w:bCs/>
          <w:color w:val="auto"/>
          <w:sz w:val="24"/>
          <w:highlight w:val="none"/>
        </w:rPr>
        <w:t>.</w:t>
      </w:r>
      <w:r>
        <w:rPr>
          <w:rFonts w:hint="eastAsia" w:ascii="黑体" w:hAnsi="黑体" w:eastAsia="黑体" w:cs="宋体"/>
          <w:b/>
          <w:bCs/>
          <w:color w:val="auto"/>
          <w:sz w:val="24"/>
          <w:highlight w:val="none"/>
        </w:rPr>
        <w:t>比较与评价</w:t>
      </w:r>
    </w:p>
    <w:p w14:paraId="4E9DB709">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5.1</w:t>
      </w:r>
      <w:r>
        <w:rPr>
          <w:rFonts w:hint="eastAsia" w:ascii="宋体" w:hAnsi="宋体" w:cs="宋体"/>
          <w:color w:val="auto"/>
          <w:szCs w:val="21"/>
          <w:highlight w:val="none"/>
        </w:rPr>
        <w:t>评审方法：综合评分法。</w:t>
      </w:r>
    </w:p>
    <w:p w14:paraId="1383A1C0">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5.2</w:t>
      </w:r>
      <w:r>
        <w:rPr>
          <w:rFonts w:hint="eastAsia" w:ascii="宋体" w:hAnsi="宋体" w:cs="宋体"/>
          <w:color w:val="auto"/>
          <w:szCs w:val="21"/>
          <w:highlight w:val="none"/>
        </w:rPr>
        <w:t>经磋商确定最终采购需求和提交最后报价的供应商后，由磋商小组采用综合评分法对提交最后报价的供应商的响应文件和最后报价进行综合评分。</w:t>
      </w:r>
    </w:p>
    <w:p w14:paraId="3BE0EF2F">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5.3</w:t>
      </w:r>
      <w:r>
        <w:rPr>
          <w:rFonts w:hint="eastAsia" w:ascii="宋体" w:hAnsi="宋体" w:cs="宋体"/>
          <w:color w:val="auto"/>
          <w:szCs w:val="21"/>
          <w:highlight w:val="none"/>
        </w:rPr>
        <w:t>评审时，磋商小组各成员应当独立对每个有效响应的文件进行评价、打分，然后汇总每个供应商每项评分因素的得分。</w:t>
      </w:r>
    </w:p>
    <w:p w14:paraId="3F44ACE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（1）磋商小组按照磋商文件中规定的评审标准计算各供应商的报价得分。项目评审过程中，不得去掉最后报价中的最高报价和最低报价。</w:t>
      </w:r>
    </w:p>
    <w:p w14:paraId="48A9D0B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（2）各供应商的得分为磋商小组所有成员的有效评分的算术平均数。</w:t>
      </w:r>
    </w:p>
    <w:p w14:paraId="35B7E7AD">
      <w:pPr>
        <w:spacing w:line="360" w:lineRule="auto"/>
        <w:ind w:firstLine="420" w:firstLineChars="200"/>
        <w:rPr>
          <w:rFonts w:ascii="宋体" w:hAnsi="宋体" w:cs="宋体"/>
          <w:color w:val="auto"/>
          <w:szCs w:val="21"/>
          <w:highlight w:val="none"/>
        </w:rPr>
      </w:pPr>
      <w:r>
        <w:rPr>
          <w:rFonts w:ascii="宋体" w:hAnsi="宋体" w:cs="宋体"/>
          <w:color w:val="auto"/>
          <w:szCs w:val="21"/>
          <w:highlight w:val="none"/>
        </w:rPr>
        <w:t>5.4</w:t>
      </w:r>
      <w:r>
        <w:rPr>
          <w:rFonts w:hint="eastAsia" w:ascii="宋体" w:hAnsi="宋体" w:cs="宋体"/>
          <w:color w:val="auto"/>
          <w:szCs w:val="21"/>
          <w:highlight w:val="none"/>
        </w:rPr>
        <w:t>评审价为供应商的最后报价进行政策性扣除后的价格，评审价只是作为评审时使用。最终成交供应商的成交金额等于最后报价（如有修正，以确认修正后的最后报价为准）。</w:t>
      </w:r>
    </w:p>
    <w:p w14:paraId="6B3F955D">
      <w:pPr>
        <w:spacing w:line="360" w:lineRule="auto"/>
        <w:ind w:firstLine="420" w:firstLineChars="200"/>
        <w:rPr>
          <w:rFonts w:ascii="宋体" w:hAnsi="宋体"/>
          <w:color w:val="auto"/>
          <w:kern w:val="0"/>
          <w:szCs w:val="21"/>
          <w:highlight w:val="none"/>
        </w:rPr>
      </w:pPr>
      <w:r>
        <w:rPr>
          <w:rFonts w:ascii="宋体" w:hAnsi="宋体" w:cs="宋体"/>
          <w:color w:val="auto"/>
          <w:szCs w:val="21"/>
          <w:highlight w:val="none"/>
        </w:rPr>
        <w:t>5.5</w:t>
      </w:r>
      <w:r>
        <w:rPr>
          <w:rFonts w:hint="eastAsia" w:ascii="宋体" w:hAnsi="宋体" w:cs="宋体"/>
          <w:color w:val="auto"/>
          <w:szCs w:val="21"/>
          <w:highlight w:val="none"/>
        </w:rPr>
        <w:t>由磋商小组根据综合评分情况，按照评审得分由高到低顺序推荐3名以上成交候选供应商，并编写评</w:t>
      </w:r>
      <w:r>
        <w:rPr>
          <w:rFonts w:hint="eastAsia" w:ascii="宋体" w:hAnsi="宋体"/>
          <w:color w:val="auto"/>
          <w:kern w:val="0"/>
          <w:szCs w:val="21"/>
          <w:highlight w:val="none"/>
        </w:rPr>
        <w:t>审报告。符合本章第</w:t>
      </w:r>
      <w:r>
        <w:rPr>
          <w:rFonts w:ascii="宋体" w:hAnsi="宋体"/>
          <w:color w:val="auto"/>
          <w:kern w:val="0"/>
          <w:szCs w:val="21"/>
          <w:highlight w:val="none"/>
        </w:rPr>
        <w:t>4.3</w:t>
      </w:r>
      <w:r>
        <w:rPr>
          <w:rFonts w:hint="eastAsia" w:ascii="宋体" w:hAnsi="宋体"/>
          <w:color w:val="auto"/>
          <w:kern w:val="0"/>
          <w:szCs w:val="21"/>
          <w:highlight w:val="none"/>
        </w:rPr>
        <w:t>条情形的，可以推荐2家成交候选供应商。评审得分相同的，按照最后报价由低到高的顺序推荐。评审得分且最后报价相同的，按照技术指标优劣顺序推荐。</w:t>
      </w:r>
    </w:p>
    <w:p w14:paraId="0151EF80">
      <w:pPr>
        <w:spacing w:line="360" w:lineRule="auto"/>
        <w:ind w:firstLine="420" w:firstLineChars="200"/>
        <w:rPr>
          <w:rFonts w:ascii="宋体" w:hAnsi="宋体" w:cs="宋体"/>
          <w:color w:val="auto"/>
          <w:szCs w:val="21"/>
          <w:highlight w:val="none"/>
        </w:rPr>
      </w:pPr>
      <w:r>
        <w:rPr>
          <w:rFonts w:ascii="宋体" w:hAnsi="宋体"/>
          <w:color w:val="auto"/>
          <w:kern w:val="0"/>
          <w:szCs w:val="21"/>
          <w:highlight w:val="none"/>
        </w:rPr>
        <w:t>5.6</w:t>
      </w:r>
      <w:r>
        <w:rPr>
          <w:rFonts w:hint="eastAsia" w:ascii="宋体" w:hAnsi="宋体"/>
          <w:color w:val="auto"/>
          <w:kern w:val="0"/>
          <w:szCs w:val="21"/>
          <w:highlight w:val="none"/>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F5DA564">
      <w:pPr>
        <w:spacing w:line="360" w:lineRule="auto"/>
        <w:jc w:val="center"/>
        <w:rPr>
          <w:rFonts w:ascii="宋体" w:hAnsi="宋体"/>
          <w:b/>
          <w:color w:val="auto"/>
          <w:sz w:val="32"/>
          <w:szCs w:val="32"/>
          <w:highlight w:val="none"/>
        </w:rPr>
      </w:pPr>
      <w:r>
        <w:rPr>
          <w:rFonts w:hint="eastAsia" w:ascii="宋体" w:hAnsi="宋体"/>
          <w:b/>
          <w:color w:val="auto"/>
          <w:sz w:val="32"/>
          <w:szCs w:val="32"/>
          <w:highlight w:val="none"/>
        </w:rPr>
        <w:t>二、评审标准</w:t>
      </w:r>
    </w:p>
    <w:p w14:paraId="069EC766">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6</w:t>
      </w:r>
      <w:r>
        <w:rPr>
          <w:rFonts w:ascii="宋体" w:hAnsi="宋体"/>
          <w:bCs/>
          <w:color w:val="auto"/>
          <w:szCs w:val="21"/>
          <w:highlight w:val="none"/>
        </w:rPr>
        <w:t>.</w:t>
      </w:r>
      <w:r>
        <w:rPr>
          <w:rFonts w:hint="eastAsia" w:ascii="宋体" w:hAnsi="宋体"/>
          <w:bCs/>
          <w:color w:val="auto"/>
          <w:szCs w:val="21"/>
          <w:highlight w:val="none"/>
        </w:rPr>
        <w:t>评审依据：磋商小组将以磋商响应文件为评审依据，对供应商的报价、技术、商务等方面内容按百分制打分。（计分方法按四舍五入取至百分位）</w:t>
      </w:r>
    </w:p>
    <w:tbl>
      <w:tblPr>
        <w:tblStyle w:val="21"/>
        <w:tblW w:w="9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304"/>
        <w:gridCol w:w="6288"/>
        <w:gridCol w:w="851"/>
      </w:tblGrid>
      <w:tr w14:paraId="17838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47" w:type="dxa"/>
            <w:vAlign w:val="center"/>
          </w:tcPr>
          <w:p w14:paraId="2FC8EE22">
            <w:pPr>
              <w:widowControl/>
              <w:spacing w:line="360" w:lineRule="auto"/>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1304" w:type="dxa"/>
            <w:vAlign w:val="center"/>
          </w:tcPr>
          <w:p w14:paraId="4147B692">
            <w:pPr>
              <w:widowControl/>
              <w:spacing w:line="360" w:lineRule="auto"/>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评审因素</w:t>
            </w:r>
          </w:p>
        </w:tc>
        <w:tc>
          <w:tcPr>
            <w:tcW w:w="6288" w:type="dxa"/>
            <w:vAlign w:val="center"/>
          </w:tcPr>
          <w:p w14:paraId="7488E18D">
            <w:pPr>
              <w:widowControl/>
              <w:spacing w:line="360" w:lineRule="auto"/>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评审因素具体内容</w:t>
            </w:r>
          </w:p>
        </w:tc>
        <w:tc>
          <w:tcPr>
            <w:tcW w:w="851" w:type="dxa"/>
            <w:vAlign w:val="center"/>
          </w:tcPr>
          <w:p w14:paraId="261FA8DC">
            <w:pPr>
              <w:widowControl/>
              <w:spacing w:line="360" w:lineRule="auto"/>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分值</w:t>
            </w:r>
          </w:p>
        </w:tc>
      </w:tr>
      <w:tr w14:paraId="4217A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2" w:hRule="atLeast"/>
          <w:jc w:val="center"/>
        </w:trPr>
        <w:tc>
          <w:tcPr>
            <w:tcW w:w="647" w:type="dxa"/>
            <w:vAlign w:val="center"/>
          </w:tcPr>
          <w:p w14:paraId="2014A27E">
            <w:pPr>
              <w:widowControl/>
              <w:spacing w:line="36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1</w:t>
            </w:r>
          </w:p>
        </w:tc>
        <w:tc>
          <w:tcPr>
            <w:tcW w:w="1304" w:type="dxa"/>
            <w:vAlign w:val="center"/>
          </w:tcPr>
          <w:p w14:paraId="38B48721">
            <w:pPr>
              <w:widowControl/>
              <w:spacing w:line="36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价格分</w:t>
            </w:r>
          </w:p>
        </w:tc>
        <w:tc>
          <w:tcPr>
            <w:tcW w:w="6288" w:type="dxa"/>
            <w:vAlign w:val="top"/>
          </w:tcPr>
          <w:p w14:paraId="19A06973">
            <w:pPr>
              <w:keepNext w:val="0"/>
              <w:keepLines w:val="0"/>
              <w:pageBreakBefore w:val="0"/>
              <w:kinsoku/>
              <w:wordWrap/>
              <w:overflowPunct/>
              <w:topLinePunct w:val="0"/>
              <w:autoSpaceDE/>
              <w:autoSpaceDN/>
              <w:bidi w:val="0"/>
              <w:snapToGrid/>
              <w:spacing w:line="360" w:lineRule="auto"/>
              <w:ind w:firstLine="420" w:firstLineChars="200"/>
              <w:rPr>
                <w:rFonts w:hint="eastAsia"/>
                <w:color w:val="auto"/>
                <w:sz w:val="21"/>
                <w:szCs w:val="21"/>
                <w:highlight w:val="none"/>
              </w:rPr>
            </w:pPr>
            <w:r>
              <w:rPr>
                <w:rFonts w:hint="eastAsia"/>
                <w:color w:val="auto"/>
                <w:sz w:val="21"/>
                <w:szCs w:val="21"/>
                <w:highlight w:val="none"/>
              </w:rPr>
              <w:t>评标基准价</w:t>
            </w:r>
            <w:r>
              <w:rPr>
                <w:color w:val="auto"/>
                <w:sz w:val="21"/>
                <w:szCs w:val="21"/>
                <w:highlight w:val="none"/>
              </w:rPr>
              <w:t>的确定方法</w:t>
            </w:r>
            <w:r>
              <w:rPr>
                <w:rFonts w:hint="eastAsia"/>
                <w:color w:val="auto"/>
                <w:sz w:val="21"/>
                <w:szCs w:val="21"/>
                <w:highlight w:val="none"/>
                <w:lang w:eastAsia="zh-CN"/>
              </w:rPr>
              <w:t>：</w:t>
            </w:r>
            <w:r>
              <w:rPr>
                <w:rFonts w:hint="default"/>
                <w:color w:val="auto"/>
                <w:sz w:val="21"/>
                <w:szCs w:val="21"/>
                <w:highlight w:val="none"/>
              </w:rPr>
              <w:t>采用低价优先法计算，即满足磋商文件要求且最后报价最低的供应商的价格为磋商基准价，其价格分为满分</w:t>
            </w:r>
            <w:r>
              <w:rPr>
                <w:rFonts w:hint="eastAsia"/>
                <w:color w:val="auto"/>
                <w:sz w:val="21"/>
                <w:szCs w:val="21"/>
                <w:highlight w:val="none"/>
              </w:rPr>
              <w:t>。</w:t>
            </w:r>
          </w:p>
          <w:p w14:paraId="17FAC63F">
            <w:pPr>
              <w:pStyle w:val="12"/>
              <w:spacing w:line="360" w:lineRule="auto"/>
              <w:ind w:firstLine="420" w:firstLineChars="200"/>
              <w:rPr>
                <w:rFonts w:hint="default"/>
                <w:color w:val="auto"/>
                <w:highlight w:val="none"/>
                <w:lang w:val="en-US" w:eastAsia="zh-CN"/>
              </w:rPr>
            </w:pPr>
            <w:r>
              <w:rPr>
                <w:rFonts w:hint="eastAsia"/>
                <w:color w:val="auto"/>
                <w:sz w:val="21"/>
                <w:szCs w:val="21"/>
                <w:highlight w:val="none"/>
              </w:rPr>
              <w:t>价格分统一按照下列公式计算：磋商报价得分=（评审基准价/磋商报价）×价格分满分分值。</w:t>
            </w:r>
          </w:p>
        </w:tc>
        <w:tc>
          <w:tcPr>
            <w:tcW w:w="851" w:type="dxa"/>
            <w:vAlign w:val="center"/>
          </w:tcPr>
          <w:p w14:paraId="189CAD87">
            <w:pPr>
              <w:widowControl/>
              <w:spacing w:line="36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rPr>
              <w:t>分</w:t>
            </w:r>
          </w:p>
        </w:tc>
      </w:tr>
      <w:tr w14:paraId="589AC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47" w:type="dxa"/>
            <w:vAlign w:val="center"/>
          </w:tcPr>
          <w:p w14:paraId="713CFECB">
            <w:pPr>
              <w:widowControl/>
              <w:spacing w:line="360" w:lineRule="auto"/>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2</w:t>
            </w:r>
          </w:p>
        </w:tc>
        <w:tc>
          <w:tcPr>
            <w:tcW w:w="8443" w:type="dxa"/>
            <w:gridSpan w:val="3"/>
            <w:vAlign w:val="center"/>
          </w:tcPr>
          <w:p w14:paraId="70D4D90D">
            <w:pPr>
              <w:widowControl/>
              <w:spacing w:line="360" w:lineRule="auto"/>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技术分（满分</w:t>
            </w:r>
            <w:r>
              <w:rPr>
                <w:rFonts w:hint="eastAsia" w:ascii="宋体" w:hAnsi="宋体" w:cs="宋体"/>
                <w:bCs/>
                <w:color w:val="auto"/>
                <w:kern w:val="0"/>
                <w:szCs w:val="21"/>
                <w:highlight w:val="none"/>
                <w:lang w:val="en-US" w:eastAsia="zh-CN"/>
              </w:rPr>
              <w:t>90</w:t>
            </w:r>
            <w:r>
              <w:rPr>
                <w:rFonts w:hint="eastAsia" w:ascii="宋体" w:hAnsi="宋体" w:cs="宋体"/>
                <w:bCs/>
                <w:color w:val="auto"/>
                <w:kern w:val="0"/>
                <w:szCs w:val="21"/>
                <w:highlight w:val="none"/>
              </w:rPr>
              <w:t>分）</w:t>
            </w:r>
            <w:r>
              <w:rPr>
                <w:rFonts w:hint="eastAsia" w:ascii="宋体" w:hAnsi="宋体" w:cs="宋体"/>
                <w:color w:val="auto"/>
                <w:kern w:val="0"/>
                <w:szCs w:val="21"/>
                <w:highlight w:val="none"/>
              </w:rPr>
              <w:t>（</w:t>
            </w:r>
            <w:r>
              <w:rPr>
                <w:rFonts w:hint="eastAsia" w:ascii="宋体" w:hAnsi="宋体" w:cs="宋体"/>
                <w:bCs/>
                <w:color w:val="auto"/>
                <w:kern w:val="0"/>
                <w:szCs w:val="21"/>
                <w:highlight w:val="none"/>
              </w:rPr>
              <w:t>由</w:t>
            </w:r>
            <w:r>
              <w:rPr>
                <w:rFonts w:hint="eastAsia" w:ascii="宋体" w:hAnsi="宋体" w:cs="宋体"/>
                <w:bCs/>
                <w:color w:val="auto"/>
                <w:kern w:val="0"/>
                <w:szCs w:val="21"/>
                <w:highlight w:val="none"/>
                <w:lang w:eastAsia="zh-CN"/>
              </w:rPr>
              <w:t>评标委员会成员</w:t>
            </w:r>
            <w:r>
              <w:rPr>
                <w:rFonts w:hint="eastAsia" w:ascii="宋体" w:hAnsi="宋体" w:cs="宋体"/>
                <w:bCs/>
                <w:color w:val="auto"/>
                <w:kern w:val="0"/>
                <w:szCs w:val="21"/>
                <w:highlight w:val="none"/>
              </w:rPr>
              <w:t>根据以下标准进行独立评审并独立打分</w:t>
            </w:r>
            <w:r>
              <w:rPr>
                <w:rFonts w:hint="eastAsia" w:ascii="宋体" w:hAnsi="宋体" w:cs="宋体"/>
                <w:color w:val="auto"/>
                <w:kern w:val="0"/>
                <w:szCs w:val="21"/>
                <w:highlight w:val="none"/>
              </w:rPr>
              <w:t>）</w:t>
            </w:r>
          </w:p>
        </w:tc>
      </w:tr>
      <w:tr w14:paraId="4EA5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47" w:type="dxa"/>
            <w:vAlign w:val="center"/>
          </w:tcPr>
          <w:p w14:paraId="6CACAC2D">
            <w:pPr>
              <w:adjustRightInd w:val="0"/>
              <w:spacing w:line="360" w:lineRule="auto"/>
              <w:ind w:left="-105" w:leftChars="-50" w:right="-105" w:rightChars="-50"/>
              <w:jc w:val="center"/>
              <w:textAlignment w:val="baseline"/>
              <w:rPr>
                <w:rFonts w:hint="default" w:ascii="宋体" w:hAnsi="宋体" w:eastAsia="宋体" w:cs="宋体"/>
                <w:bCs/>
                <w:color w:val="auto"/>
                <w:kern w:val="0"/>
                <w:szCs w:val="21"/>
                <w:highlight w:val="none"/>
                <w:lang w:val="en-US" w:eastAsia="zh-CN"/>
              </w:rPr>
            </w:pPr>
            <w:r>
              <w:rPr>
                <w:rFonts w:hint="eastAsia" w:ascii="宋体" w:hAnsi="宋体" w:cs="宋体"/>
                <w:bCs/>
                <w:color w:val="auto"/>
                <w:kern w:val="0"/>
                <w:szCs w:val="21"/>
                <w:highlight w:val="none"/>
                <w:lang w:val="en-US" w:eastAsia="zh-CN"/>
              </w:rPr>
              <w:t>2.1</w:t>
            </w:r>
          </w:p>
        </w:tc>
        <w:tc>
          <w:tcPr>
            <w:tcW w:w="1304" w:type="dxa"/>
            <w:vAlign w:val="center"/>
          </w:tcPr>
          <w:p w14:paraId="7AF40E0D">
            <w:pPr>
              <w:autoSpaceDE w:val="0"/>
              <w:autoSpaceDN w:val="0"/>
              <w:spacing w:line="360" w:lineRule="auto"/>
              <w:jc w:val="center"/>
              <w:rPr>
                <w:rFonts w:hint="eastAsia" w:ascii="Times New Roman" w:hAnsi="Times New Roman" w:eastAsia="宋体" w:cs="Times New Roman"/>
                <w:bCs/>
                <w:color w:val="auto"/>
                <w:szCs w:val="21"/>
                <w:highlight w:val="none"/>
                <w:lang w:eastAsia="zh-CN"/>
              </w:rPr>
            </w:pPr>
            <w:r>
              <w:rPr>
                <w:rFonts w:hint="eastAsia" w:ascii="Times New Roman" w:hAnsi="Times New Roman" w:eastAsia="宋体" w:cs="Times New Roman"/>
                <w:bCs/>
                <w:color w:val="auto"/>
                <w:szCs w:val="21"/>
                <w:highlight w:val="none"/>
                <w:lang w:eastAsia="zh-CN"/>
              </w:rPr>
              <w:t>服务方案</w:t>
            </w:r>
          </w:p>
        </w:tc>
        <w:tc>
          <w:tcPr>
            <w:tcW w:w="6288" w:type="dxa"/>
            <w:vAlign w:val="center"/>
          </w:tcPr>
          <w:p w14:paraId="4197CAB4">
            <w:pPr>
              <w:autoSpaceDE w:val="0"/>
              <w:autoSpaceDN w:val="0"/>
              <w:spacing w:line="360" w:lineRule="auto"/>
              <w:jc w:val="left"/>
              <w:rPr>
                <w:rFonts w:hint="eastAsia"/>
                <w:b/>
                <w:bCs/>
                <w:color w:val="auto"/>
                <w:highlight w:val="none"/>
                <w:lang w:eastAsia="zh-CN"/>
              </w:rPr>
            </w:pPr>
            <w:bookmarkStart w:id="83" w:name="OLE_LINK1"/>
            <w:r>
              <w:rPr>
                <w:rFonts w:hint="eastAsia"/>
                <w:b/>
                <w:bCs/>
                <w:color w:val="auto"/>
                <w:highlight w:val="none"/>
                <w:lang w:eastAsia="zh-CN"/>
              </w:rPr>
              <w:t>（1）实施方案分（</w:t>
            </w:r>
            <w:r>
              <w:rPr>
                <w:rFonts w:hint="eastAsia"/>
                <w:b/>
                <w:bCs/>
                <w:color w:val="auto"/>
                <w:highlight w:val="none"/>
                <w:lang w:val="en-US" w:eastAsia="zh-CN"/>
              </w:rPr>
              <w:t>25分</w:t>
            </w:r>
            <w:r>
              <w:rPr>
                <w:rFonts w:hint="eastAsia"/>
                <w:b/>
                <w:bCs/>
                <w:color w:val="auto"/>
                <w:highlight w:val="none"/>
                <w:lang w:eastAsia="zh-CN"/>
              </w:rPr>
              <w:t>）：</w:t>
            </w:r>
          </w:p>
          <w:p w14:paraId="18E3D3EE">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由评标委员会成员在打分前</w:t>
            </w:r>
            <w:r>
              <w:rPr>
                <w:rFonts w:hint="eastAsia"/>
                <w:color w:val="auto"/>
                <w:highlight w:val="none"/>
                <w:lang w:val="zh-CN" w:eastAsia="zh-CN"/>
              </w:rPr>
              <w:t>根据各投标文件中的</w:t>
            </w:r>
            <w:r>
              <w:rPr>
                <w:rFonts w:hint="eastAsia"/>
                <w:color w:val="auto"/>
                <w:highlight w:val="none"/>
                <w:lang w:eastAsia="zh-CN"/>
              </w:rPr>
              <w:t>服务方案，就工作服务方案、服务标准的完整性、合理性、科学性、先进性等方面在相应档次内独立打分。</w:t>
            </w:r>
          </w:p>
          <w:p w14:paraId="5A6E50A7">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差（</w:t>
            </w:r>
            <w:r>
              <w:rPr>
                <w:rFonts w:hint="eastAsia"/>
                <w:color w:val="auto"/>
                <w:highlight w:val="none"/>
                <w:lang w:val="en-US" w:eastAsia="zh-CN"/>
              </w:rPr>
              <w:t>5</w:t>
            </w:r>
            <w:r>
              <w:rPr>
                <w:rFonts w:hint="eastAsia"/>
                <w:color w:val="auto"/>
                <w:highlight w:val="none"/>
                <w:lang w:eastAsia="zh-CN"/>
              </w:rPr>
              <w:t>分）：提供了服务实施方案（</w:t>
            </w:r>
            <w:r>
              <w:rPr>
                <w:rFonts w:hint="eastAsia"/>
                <w:color w:val="auto"/>
                <w:highlight w:val="none"/>
                <w:lang w:val="en-US" w:eastAsia="zh-CN"/>
              </w:rPr>
              <w:t>包含总体工作计划、档案建立、服务承诺方案等</w:t>
            </w:r>
            <w:r>
              <w:rPr>
                <w:rFonts w:hint="eastAsia"/>
                <w:color w:val="auto"/>
                <w:highlight w:val="none"/>
                <w:lang w:eastAsia="zh-CN"/>
              </w:rPr>
              <w:t>），对基本的服务内容有描述，方案总体一般。</w:t>
            </w:r>
          </w:p>
          <w:p w14:paraId="30C357F1">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中（</w:t>
            </w:r>
            <w:r>
              <w:rPr>
                <w:rFonts w:hint="eastAsia"/>
                <w:color w:val="auto"/>
                <w:highlight w:val="none"/>
                <w:lang w:val="en-US" w:eastAsia="zh-CN"/>
              </w:rPr>
              <w:t>15</w:t>
            </w:r>
            <w:r>
              <w:rPr>
                <w:rFonts w:hint="eastAsia"/>
                <w:color w:val="auto"/>
                <w:highlight w:val="none"/>
                <w:lang w:eastAsia="zh-CN"/>
              </w:rPr>
              <w:t>分）：服务实施方案完整（</w:t>
            </w:r>
            <w:r>
              <w:rPr>
                <w:rFonts w:hint="eastAsia"/>
                <w:color w:val="auto"/>
                <w:highlight w:val="none"/>
                <w:lang w:val="en-US" w:eastAsia="zh-CN"/>
              </w:rPr>
              <w:t>包含总体工作计划、档案建立、服务承诺方案等</w:t>
            </w:r>
            <w:r>
              <w:rPr>
                <w:rFonts w:hint="eastAsia"/>
                <w:color w:val="auto"/>
                <w:highlight w:val="none"/>
                <w:lang w:eastAsia="zh-CN"/>
              </w:rPr>
              <w:t xml:space="preserve">），对服务工作的重点、难点有基本了解。 </w:t>
            </w:r>
          </w:p>
          <w:p w14:paraId="4CE38586">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良（</w:t>
            </w:r>
            <w:r>
              <w:rPr>
                <w:rFonts w:hint="eastAsia"/>
                <w:color w:val="auto"/>
                <w:highlight w:val="none"/>
                <w:lang w:val="en-US" w:eastAsia="zh-CN"/>
              </w:rPr>
              <w:t>20分</w:t>
            </w:r>
            <w:r>
              <w:rPr>
                <w:rFonts w:hint="eastAsia"/>
                <w:color w:val="auto"/>
                <w:highlight w:val="none"/>
                <w:lang w:eastAsia="zh-CN"/>
              </w:rPr>
              <w:t>）：服务实施方案完整（</w:t>
            </w:r>
            <w:r>
              <w:rPr>
                <w:rFonts w:hint="eastAsia"/>
                <w:color w:val="auto"/>
                <w:highlight w:val="none"/>
                <w:lang w:val="en-US" w:eastAsia="zh-CN"/>
              </w:rPr>
              <w:t>包含总体工作计划、档案建立、服务承诺方案等</w:t>
            </w:r>
            <w:r>
              <w:rPr>
                <w:rFonts w:hint="eastAsia"/>
                <w:color w:val="auto"/>
                <w:highlight w:val="none"/>
                <w:lang w:eastAsia="zh-CN"/>
              </w:rPr>
              <w:t>），对服务工作的重点、难点了解到位，对项目实施管理有丰富的经验和方案管理，对项目开展有良好的帮助。</w:t>
            </w:r>
          </w:p>
          <w:p w14:paraId="066244D9">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优（</w:t>
            </w:r>
            <w:r>
              <w:rPr>
                <w:rFonts w:hint="eastAsia"/>
                <w:color w:val="auto"/>
                <w:highlight w:val="none"/>
                <w:lang w:val="en-US" w:eastAsia="zh-CN"/>
              </w:rPr>
              <w:t>25分</w:t>
            </w:r>
            <w:r>
              <w:rPr>
                <w:rFonts w:hint="eastAsia"/>
                <w:color w:val="auto"/>
                <w:highlight w:val="none"/>
                <w:lang w:eastAsia="zh-CN"/>
              </w:rPr>
              <w:t>）：服务实施方案完整详细（</w:t>
            </w:r>
            <w:r>
              <w:rPr>
                <w:rFonts w:hint="eastAsia"/>
                <w:color w:val="auto"/>
                <w:highlight w:val="none"/>
                <w:lang w:val="en-US" w:eastAsia="zh-CN"/>
              </w:rPr>
              <w:t>包含总体工作计划、档案建立、服务承诺方案等</w:t>
            </w:r>
            <w:r>
              <w:rPr>
                <w:rFonts w:hint="eastAsia"/>
                <w:color w:val="auto"/>
                <w:highlight w:val="none"/>
                <w:lang w:eastAsia="zh-CN"/>
              </w:rPr>
              <w:t>），对服务工作的重点、难点有充分了解，对项目管理有独到的见解，针对本项目提出了对用户有帮助的合理化建议，方案可行性强。</w:t>
            </w:r>
          </w:p>
          <w:p w14:paraId="0675176A">
            <w:pPr>
              <w:autoSpaceDE w:val="0"/>
              <w:autoSpaceDN w:val="0"/>
              <w:spacing w:line="360" w:lineRule="auto"/>
              <w:jc w:val="left"/>
              <w:rPr>
                <w:rFonts w:hint="eastAsia"/>
                <w:b/>
                <w:bCs/>
                <w:color w:val="auto"/>
                <w:highlight w:val="none"/>
                <w:lang w:eastAsia="zh-CN"/>
              </w:rPr>
            </w:pPr>
            <w:r>
              <w:rPr>
                <w:rFonts w:hint="eastAsia"/>
                <w:b/>
                <w:bCs/>
                <w:color w:val="auto"/>
                <w:highlight w:val="none"/>
                <w:lang w:eastAsia="zh-CN"/>
              </w:rPr>
              <w:t>（</w:t>
            </w:r>
            <w:r>
              <w:rPr>
                <w:rFonts w:hint="eastAsia"/>
                <w:b/>
                <w:bCs/>
                <w:color w:val="auto"/>
                <w:highlight w:val="none"/>
                <w:lang w:val="en-US" w:eastAsia="zh-CN"/>
              </w:rPr>
              <w:t>2</w:t>
            </w:r>
            <w:r>
              <w:rPr>
                <w:rFonts w:hint="eastAsia"/>
                <w:b/>
                <w:bCs/>
                <w:color w:val="auto"/>
                <w:highlight w:val="none"/>
                <w:lang w:eastAsia="zh-CN"/>
              </w:rPr>
              <w:t>）人员配备方案分（满分</w:t>
            </w:r>
            <w:r>
              <w:rPr>
                <w:rFonts w:hint="eastAsia"/>
                <w:b/>
                <w:bCs/>
                <w:color w:val="auto"/>
                <w:highlight w:val="none"/>
                <w:lang w:val="en-US" w:eastAsia="zh-CN"/>
              </w:rPr>
              <w:t>15分</w:t>
            </w:r>
            <w:r>
              <w:rPr>
                <w:rFonts w:hint="eastAsia"/>
                <w:b/>
                <w:bCs/>
                <w:color w:val="auto"/>
                <w:highlight w:val="none"/>
                <w:lang w:eastAsia="zh-CN"/>
              </w:rPr>
              <w:t>）</w:t>
            </w:r>
          </w:p>
          <w:p w14:paraId="10DC7E8B">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由评标委员会成员在打分前</w:t>
            </w:r>
            <w:r>
              <w:rPr>
                <w:rFonts w:hint="eastAsia"/>
                <w:color w:val="auto"/>
                <w:highlight w:val="none"/>
                <w:lang w:val="zh-CN" w:eastAsia="zh-CN"/>
              </w:rPr>
              <w:t>根据各投标文件中的</w:t>
            </w:r>
            <w:r>
              <w:rPr>
                <w:rFonts w:hint="eastAsia"/>
                <w:color w:val="auto"/>
                <w:highlight w:val="none"/>
                <w:lang w:eastAsia="zh-CN"/>
              </w:rPr>
              <w:t>人员配备的合理性、科学性，</w:t>
            </w:r>
            <w:r>
              <w:rPr>
                <w:rFonts w:hint="eastAsia"/>
                <w:color w:val="auto"/>
                <w:highlight w:val="none"/>
                <w:lang w:val="zh-CN" w:eastAsia="zh-CN"/>
              </w:rPr>
              <w:t>管理人员等</w:t>
            </w:r>
            <w:r>
              <w:rPr>
                <w:rFonts w:hint="eastAsia"/>
                <w:color w:val="auto"/>
                <w:highlight w:val="none"/>
                <w:lang w:eastAsia="zh-CN"/>
              </w:rPr>
              <w:t>方面在相应档次内独立打分。</w:t>
            </w:r>
          </w:p>
          <w:p w14:paraId="068C485C">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差（</w:t>
            </w:r>
            <w:r>
              <w:rPr>
                <w:rFonts w:hint="eastAsia"/>
                <w:color w:val="auto"/>
                <w:highlight w:val="none"/>
                <w:lang w:val="en-US" w:eastAsia="zh-CN"/>
              </w:rPr>
              <w:t>5</w:t>
            </w:r>
            <w:r>
              <w:rPr>
                <w:rFonts w:hint="eastAsia"/>
                <w:color w:val="auto"/>
                <w:highlight w:val="none"/>
                <w:lang w:eastAsia="zh-CN"/>
              </w:rPr>
              <w:t>分）：拟投入的</w:t>
            </w:r>
            <w:r>
              <w:rPr>
                <w:rFonts w:hint="eastAsia"/>
                <w:color w:val="auto"/>
                <w:highlight w:val="none"/>
                <w:lang w:val="en-GB" w:eastAsia="zh-CN"/>
              </w:rPr>
              <w:t>后勤管理、安保、绿化等服务人员</w:t>
            </w:r>
            <w:r>
              <w:rPr>
                <w:rFonts w:hint="eastAsia"/>
                <w:color w:val="auto"/>
                <w:highlight w:val="none"/>
                <w:lang w:eastAsia="zh-CN"/>
              </w:rPr>
              <w:t>配备</w:t>
            </w:r>
            <w:r>
              <w:rPr>
                <w:rFonts w:hint="eastAsia"/>
                <w:color w:val="auto"/>
                <w:highlight w:val="none"/>
                <w:lang w:val="en-GB" w:eastAsia="zh-CN"/>
              </w:rPr>
              <w:t>一般的，</w:t>
            </w:r>
            <w:r>
              <w:rPr>
                <w:rFonts w:hint="eastAsia"/>
                <w:color w:val="auto"/>
                <w:highlight w:val="none"/>
                <w:lang w:eastAsia="zh-CN"/>
              </w:rPr>
              <w:t>基本满足项目需求；</w:t>
            </w:r>
          </w:p>
          <w:p w14:paraId="08E5D6E8">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中（</w:t>
            </w:r>
            <w:r>
              <w:rPr>
                <w:rFonts w:hint="eastAsia"/>
                <w:color w:val="auto"/>
                <w:highlight w:val="none"/>
                <w:lang w:val="en-US" w:eastAsia="zh-CN"/>
              </w:rPr>
              <w:t>10</w:t>
            </w:r>
            <w:r>
              <w:rPr>
                <w:rFonts w:hint="eastAsia"/>
                <w:color w:val="auto"/>
                <w:highlight w:val="none"/>
                <w:lang w:eastAsia="zh-CN"/>
              </w:rPr>
              <w:t>分）：拟投入的</w:t>
            </w:r>
            <w:r>
              <w:rPr>
                <w:rFonts w:hint="eastAsia"/>
                <w:color w:val="auto"/>
                <w:highlight w:val="none"/>
                <w:lang w:val="en-GB" w:eastAsia="zh-CN"/>
              </w:rPr>
              <w:t>后勤管理、安保、绿化等服务人员基本配备</w:t>
            </w:r>
            <w:r>
              <w:rPr>
                <w:rFonts w:hint="eastAsia"/>
                <w:color w:val="auto"/>
                <w:highlight w:val="none"/>
                <w:lang w:eastAsia="zh-CN"/>
              </w:rPr>
              <w:t>，能顺利实施安保</w:t>
            </w:r>
            <w:r>
              <w:rPr>
                <w:rFonts w:hint="eastAsia"/>
                <w:color w:val="auto"/>
                <w:highlight w:val="none"/>
                <w:lang w:val="en-US" w:eastAsia="zh-CN"/>
              </w:rPr>
              <w:t>维护等服务</w:t>
            </w:r>
            <w:r>
              <w:rPr>
                <w:rFonts w:hint="eastAsia"/>
                <w:color w:val="auto"/>
                <w:highlight w:val="none"/>
                <w:lang w:eastAsia="zh-CN"/>
              </w:rPr>
              <w:t>；</w:t>
            </w:r>
          </w:p>
          <w:p w14:paraId="484F9BE1">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良（</w:t>
            </w:r>
            <w:r>
              <w:rPr>
                <w:rFonts w:hint="eastAsia"/>
                <w:color w:val="auto"/>
                <w:highlight w:val="none"/>
                <w:lang w:val="en-US" w:eastAsia="zh-CN"/>
              </w:rPr>
              <w:t>13分</w:t>
            </w:r>
            <w:r>
              <w:rPr>
                <w:rFonts w:hint="eastAsia"/>
                <w:color w:val="auto"/>
                <w:highlight w:val="none"/>
                <w:lang w:eastAsia="zh-CN"/>
              </w:rPr>
              <w:t>）：拟投入的</w:t>
            </w:r>
            <w:r>
              <w:rPr>
                <w:rFonts w:hint="eastAsia"/>
                <w:color w:val="auto"/>
                <w:highlight w:val="none"/>
                <w:lang w:val="en-GB" w:eastAsia="zh-CN"/>
              </w:rPr>
              <w:t>后勤管理、安保、绿化等服务人员配</w:t>
            </w:r>
            <w:r>
              <w:rPr>
                <w:rFonts w:hint="eastAsia"/>
                <w:color w:val="auto"/>
                <w:highlight w:val="none"/>
                <w:lang w:eastAsia="zh-CN"/>
              </w:rPr>
              <w:t>备</w:t>
            </w:r>
            <w:r>
              <w:rPr>
                <w:rFonts w:hint="eastAsia"/>
                <w:color w:val="auto"/>
                <w:highlight w:val="none"/>
                <w:lang w:val="en-GB" w:eastAsia="zh-CN"/>
              </w:rPr>
              <w:t>完善，</w:t>
            </w:r>
            <w:r>
              <w:rPr>
                <w:rFonts w:hint="eastAsia"/>
                <w:color w:val="auto"/>
                <w:highlight w:val="none"/>
                <w:lang w:eastAsia="zh-CN"/>
              </w:rPr>
              <w:t>有人员管理</w:t>
            </w:r>
            <w:r>
              <w:rPr>
                <w:rFonts w:hint="eastAsia"/>
                <w:color w:val="auto"/>
                <w:highlight w:val="none"/>
                <w:lang w:val="en-GB" w:eastAsia="zh-CN"/>
              </w:rPr>
              <w:t>制度等，</w:t>
            </w:r>
            <w:r>
              <w:rPr>
                <w:rFonts w:hint="eastAsia"/>
                <w:color w:val="auto"/>
                <w:highlight w:val="none"/>
                <w:lang w:eastAsia="zh-CN"/>
              </w:rPr>
              <w:t>能很好开展</w:t>
            </w:r>
            <w:r>
              <w:rPr>
                <w:rFonts w:hint="eastAsia"/>
                <w:color w:val="auto"/>
                <w:highlight w:val="none"/>
                <w:lang w:val="en-US" w:eastAsia="zh-CN"/>
              </w:rPr>
              <w:t>服务工作</w:t>
            </w:r>
            <w:r>
              <w:rPr>
                <w:rFonts w:hint="eastAsia"/>
                <w:color w:val="auto"/>
                <w:highlight w:val="none"/>
                <w:lang w:eastAsia="zh-CN"/>
              </w:rPr>
              <w:t>。</w:t>
            </w:r>
          </w:p>
          <w:p w14:paraId="39EFEF9C">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优（</w:t>
            </w:r>
            <w:r>
              <w:rPr>
                <w:rFonts w:hint="eastAsia"/>
                <w:color w:val="auto"/>
                <w:highlight w:val="none"/>
                <w:lang w:val="en-US" w:eastAsia="zh-CN"/>
              </w:rPr>
              <w:t>16分</w:t>
            </w:r>
            <w:r>
              <w:rPr>
                <w:rFonts w:hint="eastAsia"/>
                <w:color w:val="auto"/>
                <w:highlight w:val="none"/>
                <w:lang w:eastAsia="zh-CN"/>
              </w:rPr>
              <w:t>）拟投入的</w:t>
            </w:r>
            <w:r>
              <w:rPr>
                <w:rFonts w:hint="eastAsia"/>
                <w:color w:val="auto"/>
                <w:highlight w:val="none"/>
                <w:lang w:val="en-GB" w:eastAsia="zh-CN"/>
              </w:rPr>
              <w:t>后勤管理、安保、绿化等服务人员</w:t>
            </w:r>
            <w:r>
              <w:rPr>
                <w:rFonts w:hint="eastAsia"/>
                <w:color w:val="auto"/>
                <w:highlight w:val="none"/>
                <w:lang w:eastAsia="zh-CN"/>
              </w:rPr>
              <w:t>配备</w:t>
            </w:r>
            <w:r>
              <w:rPr>
                <w:rFonts w:hint="eastAsia"/>
                <w:color w:val="auto"/>
                <w:highlight w:val="none"/>
                <w:lang w:val="en-GB" w:eastAsia="zh-CN"/>
              </w:rPr>
              <w:t>完善，具有详细的</w:t>
            </w:r>
            <w:r>
              <w:rPr>
                <w:rFonts w:hint="eastAsia"/>
                <w:color w:val="auto"/>
                <w:highlight w:val="none"/>
                <w:lang w:eastAsia="zh-CN"/>
              </w:rPr>
              <w:t>人员管理</w:t>
            </w:r>
            <w:r>
              <w:rPr>
                <w:rFonts w:hint="eastAsia"/>
                <w:color w:val="auto"/>
                <w:highlight w:val="none"/>
                <w:lang w:val="en-GB" w:eastAsia="zh-CN"/>
              </w:rPr>
              <w:t>制度等，</w:t>
            </w:r>
            <w:r>
              <w:rPr>
                <w:rFonts w:hint="eastAsia"/>
                <w:color w:val="auto"/>
                <w:highlight w:val="none"/>
                <w:lang w:eastAsia="zh-CN"/>
              </w:rPr>
              <w:t>能更好开展</w:t>
            </w:r>
            <w:r>
              <w:rPr>
                <w:rFonts w:hint="eastAsia"/>
                <w:color w:val="auto"/>
                <w:highlight w:val="none"/>
                <w:lang w:val="en-US" w:eastAsia="zh-CN"/>
              </w:rPr>
              <w:t>服务工作。</w:t>
            </w:r>
          </w:p>
          <w:p w14:paraId="258584B0">
            <w:pPr>
              <w:autoSpaceDE w:val="0"/>
              <w:autoSpaceDN w:val="0"/>
              <w:spacing w:line="360" w:lineRule="auto"/>
              <w:jc w:val="left"/>
              <w:rPr>
                <w:rFonts w:hint="eastAsia"/>
                <w:b/>
                <w:bCs/>
                <w:color w:val="auto"/>
                <w:highlight w:val="none"/>
                <w:lang w:eastAsia="zh-CN"/>
              </w:rPr>
            </w:pPr>
            <w:r>
              <w:rPr>
                <w:rFonts w:hint="eastAsia"/>
                <w:b/>
                <w:bCs/>
                <w:color w:val="auto"/>
                <w:highlight w:val="none"/>
                <w:lang w:eastAsia="zh-CN"/>
              </w:rPr>
              <w:t>（</w:t>
            </w:r>
            <w:r>
              <w:rPr>
                <w:rFonts w:hint="eastAsia"/>
                <w:b/>
                <w:bCs/>
                <w:color w:val="auto"/>
                <w:highlight w:val="none"/>
                <w:lang w:val="en-US" w:eastAsia="zh-CN"/>
              </w:rPr>
              <w:t>3）</w:t>
            </w:r>
            <w:r>
              <w:rPr>
                <w:rFonts w:hint="eastAsia"/>
                <w:b/>
                <w:bCs/>
                <w:color w:val="auto"/>
                <w:highlight w:val="none"/>
                <w:lang w:eastAsia="zh-CN"/>
              </w:rPr>
              <w:t>管理规章制度、管理方式分（满分</w:t>
            </w:r>
            <w:r>
              <w:rPr>
                <w:rFonts w:hint="eastAsia"/>
                <w:b/>
                <w:bCs/>
                <w:color w:val="auto"/>
                <w:highlight w:val="none"/>
                <w:lang w:val="en-US" w:eastAsia="zh-CN"/>
              </w:rPr>
              <w:t>20</w:t>
            </w:r>
            <w:r>
              <w:rPr>
                <w:rFonts w:hint="eastAsia"/>
                <w:b/>
                <w:bCs/>
                <w:color w:val="auto"/>
                <w:highlight w:val="none"/>
                <w:lang w:eastAsia="zh-CN"/>
              </w:rPr>
              <w:t>）</w:t>
            </w:r>
          </w:p>
          <w:p w14:paraId="15182819">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由评标委员会成员在打分前</w:t>
            </w:r>
            <w:r>
              <w:rPr>
                <w:rFonts w:hint="eastAsia"/>
                <w:color w:val="auto"/>
                <w:highlight w:val="none"/>
                <w:lang w:val="zh-CN" w:eastAsia="zh-CN"/>
              </w:rPr>
              <w:t>根据各投标文件中的</w:t>
            </w:r>
            <w:r>
              <w:rPr>
                <w:rFonts w:hint="eastAsia"/>
                <w:color w:val="auto"/>
                <w:highlight w:val="none"/>
                <w:lang w:eastAsia="zh-CN"/>
              </w:rPr>
              <w:t>管理规章制度和档案的建立与管理、拟采取的管理方式、操作规程等内容的合理性、科学性、先进性、周密性、人性化管理、可行性等方面在相应档次内独立打分。</w:t>
            </w:r>
          </w:p>
          <w:p w14:paraId="3C781B5D">
            <w:pPr>
              <w:autoSpaceDE w:val="0"/>
              <w:autoSpaceDN w:val="0"/>
              <w:spacing w:line="360" w:lineRule="auto"/>
              <w:ind w:firstLine="420" w:firstLineChars="200"/>
              <w:jc w:val="left"/>
              <w:rPr>
                <w:rFonts w:hint="eastAsia"/>
                <w:color w:val="auto"/>
                <w:highlight w:val="none"/>
                <w:lang w:val="en-GB" w:eastAsia="zh-CN"/>
              </w:rPr>
            </w:pPr>
            <w:r>
              <w:rPr>
                <w:rFonts w:hint="eastAsia"/>
                <w:color w:val="auto"/>
                <w:highlight w:val="none"/>
                <w:lang w:eastAsia="zh-CN"/>
              </w:rPr>
              <w:t>差（</w:t>
            </w:r>
            <w:r>
              <w:rPr>
                <w:rFonts w:hint="eastAsia"/>
                <w:color w:val="auto"/>
                <w:highlight w:val="none"/>
                <w:lang w:val="en-US" w:eastAsia="zh-CN"/>
              </w:rPr>
              <w:t>5</w:t>
            </w:r>
            <w:r>
              <w:rPr>
                <w:rFonts w:hint="eastAsia"/>
                <w:color w:val="auto"/>
                <w:highlight w:val="none"/>
                <w:lang w:eastAsia="zh-CN"/>
              </w:rPr>
              <w:t>分）：管理规章制度、管理</w:t>
            </w:r>
            <w:r>
              <w:rPr>
                <w:rFonts w:hint="eastAsia"/>
                <w:color w:val="auto"/>
                <w:highlight w:val="none"/>
                <w:lang w:val="en-GB" w:eastAsia="zh-CN"/>
              </w:rPr>
              <w:t>方式一般的，各项管理工作（</w:t>
            </w:r>
            <w:r>
              <w:rPr>
                <w:rFonts w:hint="eastAsia"/>
                <w:color w:val="auto"/>
                <w:highlight w:val="none"/>
                <w:lang w:val="en-US" w:eastAsia="zh-CN"/>
              </w:rPr>
              <w:t>包含卫生保洁管理服务工作、绿化养护管理服务工作、交通秩序、治安管理服务工作、水电管理服务工作等内容</w:t>
            </w:r>
            <w:r>
              <w:rPr>
                <w:rFonts w:hint="eastAsia"/>
                <w:color w:val="auto"/>
                <w:highlight w:val="none"/>
                <w:lang w:val="en-GB" w:eastAsia="zh-CN"/>
              </w:rPr>
              <w:t>）可行性差；</w:t>
            </w:r>
          </w:p>
          <w:p w14:paraId="6B5045B6">
            <w:pPr>
              <w:autoSpaceDE w:val="0"/>
              <w:autoSpaceDN w:val="0"/>
              <w:spacing w:line="360" w:lineRule="auto"/>
              <w:ind w:firstLine="420" w:firstLineChars="200"/>
              <w:jc w:val="left"/>
              <w:rPr>
                <w:rFonts w:hint="eastAsia"/>
                <w:color w:val="auto"/>
                <w:highlight w:val="none"/>
                <w:lang w:val="en-GB" w:eastAsia="zh-CN"/>
              </w:rPr>
            </w:pPr>
            <w:r>
              <w:rPr>
                <w:rFonts w:hint="eastAsia"/>
                <w:color w:val="auto"/>
                <w:highlight w:val="none"/>
                <w:lang w:val="en-GB" w:eastAsia="zh-CN"/>
              </w:rPr>
              <w:t>中（</w:t>
            </w:r>
            <w:r>
              <w:rPr>
                <w:rFonts w:hint="eastAsia"/>
                <w:color w:val="auto"/>
                <w:highlight w:val="none"/>
                <w:lang w:val="en-US" w:eastAsia="zh-CN"/>
              </w:rPr>
              <w:t>10</w:t>
            </w:r>
            <w:r>
              <w:rPr>
                <w:rFonts w:hint="eastAsia"/>
                <w:color w:val="auto"/>
                <w:highlight w:val="none"/>
                <w:lang w:val="en-GB" w:eastAsia="zh-CN"/>
              </w:rPr>
              <w:t>分）：管理规章制度、管理方式较完善，提供简单的岗后培训计划，提高</w:t>
            </w:r>
            <w:r>
              <w:rPr>
                <w:rFonts w:hint="eastAsia"/>
                <w:color w:val="auto"/>
                <w:highlight w:val="none"/>
                <w:lang w:val="en-US" w:eastAsia="zh-CN"/>
              </w:rPr>
              <w:t>服务</w:t>
            </w:r>
            <w:r>
              <w:rPr>
                <w:rFonts w:hint="eastAsia"/>
                <w:color w:val="auto"/>
                <w:highlight w:val="none"/>
                <w:lang w:val="en-GB" w:eastAsia="zh-CN"/>
              </w:rPr>
              <w:t>人员综合素质，能有效</w:t>
            </w:r>
            <w:r>
              <w:rPr>
                <w:rFonts w:hint="eastAsia"/>
                <w:color w:val="auto"/>
                <w:highlight w:val="none"/>
                <w:lang w:val="en-US" w:eastAsia="zh-CN"/>
              </w:rPr>
              <w:t>实行</w:t>
            </w:r>
            <w:r>
              <w:rPr>
                <w:rFonts w:hint="eastAsia"/>
                <w:color w:val="auto"/>
                <w:highlight w:val="none"/>
                <w:lang w:val="en-GB" w:eastAsia="zh-CN"/>
              </w:rPr>
              <w:t>管理服务工作（</w:t>
            </w:r>
            <w:r>
              <w:rPr>
                <w:rFonts w:hint="eastAsia"/>
                <w:color w:val="auto"/>
                <w:highlight w:val="none"/>
                <w:lang w:val="en-US" w:eastAsia="zh-CN"/>
              </w:rPr>
              <w:t>包含卫生保洁管理服务工作、绿化养护管理服务工作、交通秩序、治安管理服务工作、水电管理服务工作等内容</w:t>
            </w:r>
            <w:r>
              <w:rPr>
                <w:rFonts w:hint="eastAsia"/>
                <w:color w:val="auto"/>
                <w:highlight w:val="none"/>
                <w:lang w:val="en-GB" w:eastAsia="zh-CN"/>
              </w:rPr>
              <w:t>）；</w:t>
            </w:r>
          </w:p>
          <w:p w14:paraId="437EBC1B">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良（</w:t>
            </w:r>
            <w:r>
              <w:rPr>
                <w:rFonts w:hint="eastAsia"/>
                <w:color w:val="auto"/>
                <w:highlight w:val="none"/>
                <w:lang w:val="en-US" w:eastAsia="zh-CN"/>
              </w:rPr>
              <w:t>15分</w:t>
            </w:r>
            <w:r>
              <w:rPr>
                <w:rFonts w:hint="eastAsia"/>
                <w:color w:val="auto"/>
                <w:highlight w:val="none"/>
                <w:lang w:eastAsia="zh-CN"/>
              </w:rPr>
              <w:t>）：管理规章制度、管理方式</w:t>
            </w:r>
            <w:r>
              <w:rPr>
                <w:rFonts w:hint="eastAsia"/>
                <w:color w:val="auto"/>
                <w:highlight w:val="none"/>
                <w:lang w:val="en-GB" w:eastAsia="zh-CN"/>
              </w:rPr>
              <w:t>完善（</w:t>
            </w:r>
            <w:r>
              <w:rPr>
                <w:rFonts w:hint="eastAsia"/>
                <w:color w:val="auto"/>
                <w:highlight w:val="none"/>
                <w:lang w:val="en-US" w:eastAsia="zh-CN"/>
              </w:rPr>
              <w:t>包含卫生保洁管理服务工作、绿化养护管理服务工作、交通秩序、治安管理服务工作、水电管理服务工作等内容</w:t>
            </w:r>
            <w:r>
              <w:rPr>
                <w:rFonts w:hint="eastAsia"/>
                <w:color w:val="auto"/>
                <w:highlight w:val="none"/>
                <w:lang w:val="en-GB" w:eastAsia="zh-CN"/>
              </w:rPr>
              <w:t>），提供完整的岗后培训计划，提高</w:t>
            </w:r>
            <w:r>
              <w:rPr>
                <w:rFonts w:hint="eastAsia"/>
                <w:color w:val="auto"/>
                <w:highlight w:val="none"/>
                <w:lang w:val="en-US" w:eastAsia="zh-CN"/>
              </w:rPr>
              <w:t>服务</w:t>
            </w:r>
            <w:r>
              <w:rPr>
                <w:rFonts w:hint="eastAsia"/>
                <w:color w:val="auto"/>
                <w:highlight w:val="none"/>
                <w:lang w:val="en-GB" w:eastAsia="zh-CN"/>
              </w:rPr>
              <w:t>人员综合素质，且各工种（岗位）有完整操作流程或规范</w:t>
            </w:r>
            <w:r>
              <w:rPr>
                <w:rFonts w:hint="eastAsia"/>
                <w:color w:val="auto"/>
                <w:highlight w:val="none"/>
                <w:lang w:eastAsia="zh-CN"/>
              </w:rPr>
              <w:t>。</w:t>
            </w:r>
          </w:p>
          <w:p w14:paraId="250BA812">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优（</w:t>
            </w:r>
            <w:r>
              <w:rPr>
                <w:rFonts w:hint="eastAsia"/>
                <w:color w:val="auto"/>
                <w:highlight w:val="none"/>
                <w:lang w:val="en-US" w:eastAsia="zh-CN"/>
              </w:rPr>
              <w:t>20分</w:t>
            </w:r>
            <w:r>
              <w:rPr>
                <w:rFonts w:hint="eastAsia"/>
                <w:color w:val="auto"/>
                <w:highlight w:val="none"/>
                <w:lang w:eastAsia="zh-CN"/>
              </w:rPr>
              <w:t>）：管理规章制度、管理方式</w:t>
            </w:r>
            <w:r>
              <w:rPr>
                <w:rFonts w:hint="eastAsia"/>
                <w:color w:val="auto"/>
                <w:highlight w:val="none"/>
                <w:lang w:val="en-GB" w:eastAsia="zh-CN"/>
              </w:rPr>
              <w:t>完善到位（</w:t>
            </w:r>
            <w:r>
              <w:rPr>
                <w:rFonts w:hint="eastAsia"/>
                <w:color w:val="auto"/>
                <w:highlight w:val="none"/>
                <w:lang w:val="en-US" w:eastAsia="zh-CN"/>
              </w:rPr>
              <w:t>包含卫生保洁管理服务工作、绿化养护管理服务工作、交通秩序、治安管理服务工作、水电管理服务工作等内容</w:t>
            </w:r>
            <w:r>
              <w:rPr>
                <w:rFonts w:hint="eastAsia"/>
                <w:color w:val="auto"/>
                <w:highlight w:val="none"/>
                <w:lang w:val="en-GB" w:eastAsia="zh-CN"/>
              </w:rPr>
              <w:t>），提供详细完好的岗后培训计划，提高</w:t>
            </w:r>
            <w:r>
              <w:rPr>
                <w:rFonts w:hint="eastAsia"/>
                <w:color w:val="auto"/>
                <w:highlight w:val="none"/>
                <w:lang w:val="en-US" w:eastAsia="zh-CN"/>
              </w:rPr>
              <w:t>服务</w:t>
            </w:r>
            <w:r>
              <w:rPr>
                <w:rFonts w:hint="eastAsia"/>
                <w:color w:val="auto"/>
                <w:highlight w:val="none"/>
                <w:lang w:val="en-GB" w:eastAsia="zh-CN"/>
              </w:rPr>
              <w:t>人员综合素质和职业技能，且各工种（岗位）有详细的操作流程或规范</w:t>
            </w:r>
            <w:r>
              <w:rPr>
                <w:rFonts w:hint="eastAsia"/>
                <w:color w:val="auto"/>
                <w:highlight w:val="none"/>
                <w:lang w:eastAsia="zh-CN"/>
              </w:rPr>
              <w:t>。</w:t>
            </w:r>
          </w:p>
          <w:p w14:paraId="346A61F6">
            <w:pPr>
              <w:numPr>
                <w:ilvl w:val="0"/>
                <w:numId w:val="8"/>
              </w:numPr>
              <w:autoSpaceDE w:val="0"/>
              <w:autoSpaceDN w:val="0"/>
              <w:spacing w:line="360" w:lineRule="auto"/>
              <w:jc w:val="left"/>
              <w:rPr>
                <w:rFonts w:hint="eastAsia"/>
                <w:b/>
                <w:bCs/>
                <w:color w:val="auto"/>
                <w:highlight w:val="none"/>
                <w:lang w:eastAsia="zh-CN"/>
              </w:rPr>
            </w:pPr>
            <w:r>
              <w:rPr>
                <w:rFonts w:hint="eastAsia"/>
                <w:b/>
                <w:bCs/>
                <w:color w:val="auto"/>
                <w:highlight w:val="none"/>
                <w:lang w:eastAsia="zh-CN"/>
              </w:rPr>
              <w:t>应急方案分（满分</w:t>
            </w:r>
            <w:r>
              <w:rPr>
                <w:rFonts w:hint="eastAsia"/>
                <w:b/>
                <w:bCs/>
                <w:color w:val="auto"/>
                <w:highlight w:val="none"/>
                <w:lang w:val="en-US" w:eastAsia="zh-CN"/>
              </w:rPr>
              <w:t>15分</w:t>
            </w:r>
            <w:r>
              <w:rPr>
                <w:rFonts w:hint="eastAsia"/>
                <w:b/>
                <w:bCs/>
                <w:color w:val="auto"/>
                <w:highlight w:val="none"/>
                <w:lang w:eastAsia="zh-CN"/>
              </w:rPr>
              <w:t>）</w:t>
            </w:r>
          </w:p>
          <w:p w14:paraId="1375C698">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由评标委员会成员在打分前</w:t>
            </w:r>
            <w:r>
              <w:rPr>
                <w:rFonts w:hint="eastAsia"/>
                <w:color w:val="auto"/>
                <w:highlight w:val="none"/>
                <w:lang w:val="zh-CN" w:eastAsia="zh-CN"/>
              </w:rPr>
              <w:t>根据各投标文件中的</w:t>
            </w:r>
            <w:r>
              <w:rPr>
                <w:rFonts w:hint="eastAsia"/>
                <w:color w:val="auto"/>
                <w:highlight w:val="none"/>
                <w:lang w:eastAsia="zh-CN"/>
              </w:rPr>
              <w:t>应急处置方案（如防火、防水、防疫等）预案等内容的合理性、科学性、先进性、周密性、人性化管理、可行性等方面在相应档次内独立打分。</w:t>
            </w:r>
          </w:p>
          <w:p w14:paraId="6E4CE091">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lang w:eastAsia="zh-CN"/>
              </w:rPr>
              <w:t>差</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分）：</w:t>
            </w:r>
            <w:r>
              <w:rPr>
                <w:rFonts w:hint="eastAsia" w:ascii="宋体" w:hAnsi="宋体" w:cs="Courier New"/>
                <w:bCs/>
                <w:color w:val="auto"/>
                <w:sz w:val="21"/>
                <w:szCs w:val="21"/>
                <w:highlight w:val="none"/>
              </w:rPr>
              <w:t>应急机制（突发事件的应急方案、工作人员突然离职的应急措施</w:t>
            </w:r>
            <w:r>
              <w:rPr>
                <w:rFonts w:hint="eastAsia" w:ascii="宋体" w:hAnsi="宋体" w:cs="Courier New"/>
                <w:bCs/>
                <w:color w:val="auto"/>
                <w:sz w:val="21"/>
                <w:szCs w:val="21"/>
                <w:highlight w:val="none"/>
                <w:lang w:eastAsia="zh-CN"/>
              </w:rPr>
              <w:t>等</w:t>
            </w:r>
            <w:r>
              <w:rPr>
                <w:rFonts w:hint="eastAsia" w:ascii="宋体" w:hAnsi="宋体" w:cs="Courier New"/>
                <w:bCs/>
                <w:color w:val="auto"/>
                <w:sz w:val="21"/>
                <w:szCs w:val="21"/>
                <w:highlight w:val="none"/>
              </w:rPr>
              <w:t>其他应急措施）</w:t>
            </w:r>
            <w:r>
              <w:rPr>
                <w:rFonts w:hint="eastAsia" w:ascii="宋体" w:hAnsi="宋体" w:cs="宋体"/>
                <w:color w:val="auto"/>
                <w:szCs w:val="21"/>
                <w:highlight w:val="none"/>
              </w:rPr>
              <w:t>方案</w:t>
            </w:r>
            <w:r>
              <w:rPr>
                <w:rFonts w:hint="eastAsia" w:ascii="宋体" w:hAnsi="宋体" w:cs="宋体"/>
                <w:color w:val="auto"/>
                <w:szCs w:val="21"/>
                <w:highlight w:val="none"/>
                <w:lang w:eastAsia="zh-CN"/>
              </w:rPr>
              <w:t>简单，</w:t>
            </w:r>
            <w:r>
              <w:rPr>
                <w:rFonts w:hint="eastAsia" w:ascii="宋体" w:hAnsi="宋体" w:cs="宋体"/>
                <w:color w:val="auto"/>
                <w:szCs w:val="21"/>
                <w:highlight w:val="none"/>
              </w:rPr>
              <w:t xml:space="preserve">不能合理科学的安排人员、设备，不能高效高质的应对突发事件。  </w:t>
            </w:r>
          </w:p>
          <w:p w14:paraId="2EDE59DB">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lang w:eastAsia="zh-CN"/>
              </w:rPr>
              <w:t>中</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r>
              <w:rPr>
                <w:rFonts w:hint="eastAsia" w:ascii="宋体" w:hAnsi="宋体" w:cs="Courier New"/>
                <w:bCs/>
                <w:color w:val="auto"/>
                <w:sz w:val="21"/>
                <w:szCs w:val="21"/>
                <w:highlight w:val="none"/>
              </w:rPr>
              <w:t>应急机制（突发事件的应急方案、工作人员突然离职的应急措施</w:t>
            </w:r>
            <w:r>
              <w:rPr>
                <w:rFonts w:hint="eastAsia" w:ascii="宋体" w:hAnsi="宋体" w:cs="Courier New"/>
                <w:bCs/>
                <w:color w:val="auto"/>
                <w:sz w:val="21"/>
                <w:szCs w:val="21"/>
                <w:highlight w:val="none"/>
                <w:lang w:eastAsia="zh-CN"/>
              </w:rPr>
              <w:t>等</w:t>
            </w:r>
            <w:r>
              <w:rPr>
                <w:rFonts w:hint="eastAsia" w:ascii="宋体" w:hAnsi="宋体" w:cs="Courier New"/>
                <w:bCs/>
                <w:color w:val="auto"/>
                <w:sz w:val="21"/>
                <w:szCs w:val="21"/>
                <w:highlight w:val="none"/>
              </w:rPr>
              <w:t>其他应急措施）</w:t>
            </w:r>
            <w:r>
              <w:rPr>
                <w:rFonts w:hint="eastAsia" w:ascii="宋体" w:hAnsi="宋体" w:cs="宋体"/>
                <w:color w:val="auto"/>
                <w:szCs w:val="21"/>
                <w:highlight w:val="none"/>
              </w:rPr>
              <w:t>方案</w:t>
            </w:r>
            <w:r>
              <w:rPr>
                <w:rFonts w:hint="eastAsia" w:ascii="宋体" w:hAnsi="宋体" w:cs="宋体"/>
                <w:color w:val="auto"/>
                <w:szCs w:val="21"/>
                <w:highlight w:val="none"/>
                <w:lang w:eastAsia="zh-CN"/>
              </w:rPr>
              <w:t>基本完整，</w:t>
            </w:r>
            <w:r>
              <w:rPr>
                <w:rFonts w:hint="eastAsia" w:ascii="宋体" w:hAnsi="宋体" w:cs="宋体"/>
                <w:color w:val="auto"/>
                <w:szCs w:val="21"/>
                <w:highlight w:val="none"/>
              </w:rPr>
              <w:t>能较合理科学的安排人员、设备，</w:t>
            </w:r>
            <w:r>
              <w:rPr>
                <w:rFonts w:hint="eastAsia" w:ascii="宋体" w:hAnsi="宋体" w:cs="宋体"/>
                <w:color w:val="auto"/>
                <w:szCs w:val="21"/>
                <w:highlight w:val="none"/>
                <w:lang w:eastAsia="zh-CN"/>
              </w:rPr>
              <w:t>基本能</w:t>
            </w:r>
            <w:r>
              <w:rPr>
                <w:rFonts w:hint="eastAsia" w:ascii="宋体" w:hAnsi="宋体" w:cs="宋体"/>
                <w:color w:val="auto"/>
                <w:szCs w:val="21"/>
                <w:highlight w:val="none"/>
              </w:rPr>
              <w:t>应对突发事件。</w:t>
            </w:r>
          </w:p>
          <w:p w14:paraId="62D8D074">
            <w:pPr>
              <w:spacing w:line="400" w:lineRule="exact"/>
              <w:ind w:firstLine="420"/>
              <w:rPr>
                <w:rFonts w:hint="eastAsia" w:ascii="宋体" w:hAnsi="宋体" w:cs="宋体"/>
                <w:color w:val="auto"/>
                <w:szCs w:val="21"/>
                <w:highlight w:val="none"/>
              </w:rPr>
            </w:pPr>
            <w:r>
              <w:rPr>
                <w:rFonts w:hint="eastAsia" w:ascii="宋体" w:hAnsi="宋体" w:cs="宋体"/>
                <w:color w:val="auto"/>
                <w:szCs w:val="21"/>
                <w:highlight w:val="none"/>
                <w:lang w:eastAsia="zh-CN"/>
              </w:rPr>
              <w:t>良</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10分</w:t>
            </w:r>
            <w:r>
              <w:rPr>
                <w:rFonts w:hint="eastAsia" w:ascii="宋体" w:hAnsi="宋体" w:cs="宋体"/>
                <w:color w:val="auto"/>
                <w:szCs w:val="21"/>
                <w:highlight w:val="none"/>
              </w:rPr>
              <w:t>）：</w:t>
            </w:r>
            <w:r>
              <w:rPr>
                <w:rFonts w:hint="eastAsia" w:ascii="宋体" w:hAnsi="宋体" w:cs="Courier New"/>
                <w:bCs/>
                <w:color w:val="auto"/>
                <w:sz w:val="21"/>
                <w:szCs w:val="21"/>
                <w:highlight w:val="none"/>
              </w:rPr>
              <w:t>应急机制（突发事件的应急方案、工作人员突然离职的应急措施</w:t>
            </w:r>
            <w:r>
              <w:rPr>
                <w:rFonts w:hint="eastAsia" w:ascii="宋体" w:hAnsi="宋体" w:cs="Courier New"/>
                <w:bCs/>
                <w:color w:val="auto"/>
                <w:sz w:val="21"/>
                <w:szCs w:val="21"/>
                <w:highlight w:val="none"/>
                <w:lang w:eastAsia="zh-CN"/>
              </w:rPr>
              <w:t>等</w:t>
            </w:r>
            <w:r>
              <w:rPr>
                <w:rFonts w:hint="eastAsia" w:ascii="宋体" w:hAnsi="宋体" w:cs="Courier New"/>
                <w:bCs/>
                <w:color w:val="auto"/>
                <w:sz w:val="21"/>
                <w:szCs w:val="21"/>
                <w:highlight w:val="none"/>
              </w:rPr>
              <w:t>其他应急措施）</w:t>
            </w:r>
            <w:r>
              <w:rPr>
                <w:rFonts w:hint="eastAsia" w:ascii="宋体" w:hAnsi="宋体" w:cs="宋体"/>
                <w:color w:val="auto"/>
                <w:szCs w:val="21"/>
                <w:highlight w:val="none"/>
              </w:rPr>
              <w:t>方案</w:t>
            </w:r>
            <w:r>
              <w:rPr>
                <w:rFonts w:hint="eastAsia" w:ascii="宋体" w:hAnsi="宋体" w:cs="宋体"/>
                <w:color w:val="auto"/>
                <w:szCs w:val="21"/>
                <w:highlight w:val="none"/>
                <w:lang w:eastAsia="zh-CN"/>
              </w:rPr>
              <w:t>完整，</w:t>
            </w:r>
            <w:r>
              <w:rPr>
                <w:rFonts w:hint="eastAsia" w:ascii="宋体" w:hAnsi="宋体" w:cs="宋体"/>
                <w:color w:val="auto"/>
                <w:szCs w:val="21"/>
                <w:highlight w:val="none"/>
              </w:rPr>
              <w:t>能较合理科学的安排人员、设备，能较高效高质的应对突发事件</w:t>
            </w:r>
            <w:r>
              <w:rPr>
                <w:rFonts w:hint="eastAsia" w:ascii="宋体" w:hAnsi="宋体" w:cs="宋体"/>
                <w:color w:val="auto"/>
                <w:szCs w:val="21"/>
                <w:highlight w:val="none"/>
                <w:lang w:eastAsia="zh-CN"/>
              </w:rPr>
              <w:t>和</w:t>
            </w:r>
            <w:r>
              <w:rPr>
                <w:rFonts w:hint="eastAsia" w:ascii="宋体" w:hAnsi="宋体" w:cs="宋体"/>
                <w:color w:val="auto"/>
                <w:szCs w:val="21"/>
                <w:highlight w:val="none"/>
              </w:rPr>
              <w:t>结合所属区域的实际情况作出有针对性的方案。</w:t>
            </w:r>
          </w:p>
          <w:p w14:paraId="60EDD710">
            <w:pPr>
              <w:spacing w:line="400" w:lineRule="exact"/>
              <w:ind w:firstLine="420"/>
              <w:rPr>
                <w:rFonts w:hint="eastAsia" w:ascii="宋体" w:hAnsi="宋体" w:cs="宋体"/>
                <w:bCs/>
                <w:color w:val="auto"/>
                <w:szCs w:val="21"/>
                <w:highlight w:val="none"/>
              </w:rPr>
            </w:pPr>
            <w:r>
              <w:rPr>
                <w:rFonts w:hint="eastAsia" w:ascii="宋体" w:hAnsi="宋体" w:cs="Courier New"/>
                <w:bCs/>
                <w:color w:val="auto"/>
                <w:sz w:val="21"/>
                <w:szCs w:val="21"/>
                <w:highlight w:val="none"/>
                <w:lang w:eastAsia="zh-CN"/>
              </w:rPr>
              <w:t>优（</w:t>
            </w:r>
            <w:r>
              <w:rPr>
                <w:rFonts w:hint="eastAsia" w:ascii="宋体" w:hAnsi="宋体" w:cs="Courier New"/>
                <w:bCs/>
                <w:color w:val="auto"/>
                <w:sz w:val="21"/>
                <w:szCs w:val="21"/>
                <w:highlight w:val="none"/>
                <w:lang w:val="en-US" w:eastAsia="zh-CN"/>
              </w:rPr>
              <w:t>15分</w:t>
            </w:r>
            <w:r>
              <w:rPr>
                <w:rFonts w:hint="eastAsia" w:ascii="宋体" w:hAnsi="宋体" w:cs="Courier New"/>
                <w:bCs/>
                <w:color w:val="auto"/>
                <w:sz w:val="21"/>
                <w:szCs w:val="21"/>
                <w:highlight w:val="none"/>
                <w:lang w:eastAsia="zh-CN"/>
              </w:rPr>
              <w:t>）：</w:t>
            </w:r>
            <w:r>
              <w:rPr>
                <w:rFonts w:hint="eastAsia" w:ascii="宋体" w:hAnsi="宋体" w:cs="Courier New"/>
                <w:bCs/>
                <w:color w:val="auto"/>
                <w:sz w:val="21"/>
                <w:szCs w:val="21"/>
                <w:highlight w:val="none"/>
              </w:rPr>
              <w:t>应急机制（突发事件的应急方案、工作人员突然离职的应急措施</w:t>
            </w:r>
            <w:r>
              <w:rPr>
                <w:rFonts w:hint="eastAsia" w:ascii="宋体" w:hAnsi="宋体" w:cs="Courier New"/>
                <w:bCs/>
                <w:color w:val="auto"/>
                <w:sz w:val="21"/>
                <w:szCs w:val="21"/>
                <w:highlight w:val="none"/>
                <w:lang w:eastAsia="zh-CN"/>
              </w:rPr>
              <w:t>等</w:t>
            </w:r>
            <w:r>
              <w:rPr>
                <w:rFonts w:hint="eastAsia" w:ascii="宋体" w:hAnsi="宋体" w:cs="Courier New"/>
                <w:bCs/>
                <w:color w:val="auto"/>
                <w:sz w:val="21"/>
                <w:szCs w:val="21"/>
                <w:highlight w:val="none"/>
              </w:rPr>
              <w:t>其他应急措施）</w:t>
            </w:r>
            <w:r>
              <w:rPr>
                <w:rFonts w:hint="eastAsia" w:ascii="宋体" w:hAnsi="宋体" w:cs="宋体"/>
                <w:color w:val="auto"/>
                <w:szCs w:val="21"/>
                <w:highlight w:val="none"/>
              </w:rPr>
              <w:t>方案</w:t>
            </w:r>
            <w:r>
              <w:rPr>
                <w:rFonts w:hint="eastAsia" w:ascii="宋体" w:hAnsi="宋体" w:cs="宋体"/>
                <w:color w:val="auto"/>
                <w:szCs w:val="21"/>
                <w:highlight w:val="none"/>
                <w:lang w:eastAsia="zh-CN"/>
              </w:rPr>
              <w:t>全面完整，</w:t>
            </w:r>
            <w:r>
              <w:rPr>
                <w:rFonts w:hint="eastAsia" w:ascii="宋体" w:hAnsi="宋体" w:cs="宋体"/>
                <w:color w:val="auto"/>
                <w:szCs w:val="21"/>
                <w:highlight w:val="none"/>
              </w:rPr>
              <w:t>能合理科学的安排人员、设备，能高效高质的应对突发事件，能结合所属区域的实际情况作出有针对性的方案。</w:t>
            </w:r>
          </w:p>
          <w:p w14:paraId="1D88B355">
            <w:pPr>
              <w:numPr>
                <w:ilvl w:val="0"/>
                <w:numId w:val="0"/>
              </w:numPr>
              <w:autoSpaceDE w:val="0"/>
              <w:autoSpaceDN w:val="0"/>
              <w:spacing w:line="360" w:lineRule="auto"/>
              <w:jc w:val="left"/>
              <w:rPr>
                <w:rFonts w:hint="eastAsia"/>
                <w:b/>
                <w:bCs/>
                <w:color w:val="auto"/>
                <w:highlight w:val="none"/>
                <w:lang w:eastAsia="zh-CN"/>
              </w:rPr>
            </w:pPr>
            <w:r>
              <w:rPr>
                <w:rFonts w:hint="eastAsia"/>
                <w:b/>
                <w:bCs/>
                <w:color w:val="auto"/>
                <w:highlight w:val="none"/>
                <w:lang w:eastAsia="zh-CN"/>
              </w:rPr>
              <w:t>（</w:t>
            </w:r>
            <w:r>
              <w:rPr>
                <w:rFonts w:hint="eastAsia"/>
                <w:b/>
                <w:bCs/>
                <w:color w:val="auto"/>
                <w:highlight w:val="none"/>
                <w:lang w:val="en-US" w:eastAsia="zh-CN"/>
              </w:rPr>
              <w:t>5</w:t>
            </w:r>
            <w:r>
              <w:rPr>
                <w:rFonts w:hint="eastAsia"/>
                <w:b/>
                <w:bCs/>
                <w:color w:val="auto"/>
                <w:highlight w:val="none"/>
                <w:lang w:eastAsia="zh-CN"/>
              </w:rPr>
              <w:t>）服装和装备分（满分1</w:t>
            </w:r>
            <w:r>
              <w:rPr>
                <w:rFonts w:hint="eastAsia"/>
                <w:b/>
                <w:bCs/>
                <w:color w:val="auto"/>
                <w:highlight w:val="none"/>
                <w:lang w:val="en-US" w:eastAsia="zh-CN"/>
              </w:rPr>
              <w:t>5</w:t>
            </w:r>
            <w:r>
              <w:rPr>
                <w:rFonts w:hint="eastAsia"/>
                <w:b/>
                <w:bCs/>
                <w:color w:val="auto"/>
                <w:highlight w:val="none"/>
                <w:lang w:eastAsia="zh-CN"/>
              </w:rPr>
              <w:t>分）</w:t>
            </w:r>
          </w:p>
          <w:p w14:paraId="7A7413DB">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由评标委员会成员在打分前</w:t>
            </w:r>
            <w:r>
              <w:rPr>
                <w:rFonts w:hint="eastAsia"/>
                <w:color w:val="auto"/>
                <w:highlight w:val="none"/>
                <w:lang w:val="zh-CN" w:eastAsia="zh-CN"/>
              </w:rPr>
              <w:t>根据各</w:t>
            </w:r>
            <w:r>
              <w:rPr>
                <w:rFonts w:hint="eastAsia"/>
                <w:color w:val="auto"/>
                <w:highlight w:val="none"/>
                <w:lang w:eastAsia="zh-CN"/>
              </w:rPr>
              <w:t>投标人投入的服务装备的优劣度（包含通讯、照明、安全防范装备、消毒器械、口罩、体温计及办公用品等）在相应档次内独立打分。</w:t>
            </w:r>
          </w:p>
          <w:p w14:paraId="55AA5A40">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差（</w:t>
            </w:r>
            <w:r>
              <w:rPr>
                <w:rFonts w:hint="eastAsia"/>
                <w:color w:val="auto"/>
                <w:highlight w:val="none"/>
                <w:lang w:val="en-US" w:eastAsia="zh-CN"/>
              </w:rPr>
              <w:t>1</w:t>
            </w:r>
            <w:r>
              <w:rPr>
                <w:rFonts w:hint="eastAsia"/>
                <w:color w:val="auto"/>
                <w:highlight w:val="none"/>
                <w:lang w:eastAsia="zh-CN"/>
              </w:rPr>
              <w:t>分）：投入的服务装备简单，配备物资装备一般。</w:t>
            </w:r>
          </w:p>
          <w:p w14:paraId="2DBEEA57">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中（</w:t>
            </w:r>
            <w:r>
              <w:rPr>
                <w:rFonts w:hint="eastAsia"/>
                <w:color w:val="auto"/>
                <w:highlight w:val="none"/>
                <w:lang w:val="en-US" w:eastAsia="zh-CN"/>
              </w:rPr>
              <w:t>5</w:t>
            </w:r>
            <w:r>
              <w:rPr>
                <w:rFonts w:hint="eastAsia"/>
                <w:color w:val="auto"/>
                <w:highlight w:val="none"/>
                <w:lang w:eastAsia="zh-CN"/>
              </w:rPr>
              <w:t>分）：投入的服务装备齐全，配备物资装备较好，保持人员形象和专业能力。</w:t>
            </w:r>
          </w:p>
          <w:p w14:paraId="4F2D1324">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良（</w:t>
            </w:r>
            <w:r>
              <w:rPr>
                <w:rFonts w:hint="eastAsia"/>
                <w:color w:val="auto"/>
                <w:highlight w:val="none"/>
                <w:lang w:val="en-US" w:eastAsia="zh-CN"/>
              </w:rPr>
              <w:t>10分</w:t>
            </w:r>
            <w:r>
              <w:rPr>
                <w:rFonts w:hint="eastAsia"/>
                <w:color w:val="auto"/>
                <w:highlight w:val="none"/>
                <w:lang w:eastAsia="zh-CN"/>
              </w:rPr>
              <w:t>）：投入的服务装备齐全，配备物资装备完好，能有效提高人员形象和专业能力，有效应付突发事件等。</w:t>
            </w:r>
          </w:p>
          <w:p w14:paraId="77E3EE9A">
            <w:pPr>
              <w:autoSpaceDE w:val="0"/>
              <w:autoSpaceDN w:val="0"/>
              <w:spacing w:line="360" w:lineRule="auto"/>
              <w:ind w:firstLine="420" w:firstLineChars="200"/>
              <w:jc w:val="left"/>
              <w:rPr>
                <w:rFonts w:hint="eastAsia"/>
                <w:color w:val="auto"/>
                <w:highlight w:val="none"/>
                <w:lang w:eastAsia="zh-CN"/>
              </w:rPr>
            </w:pPr>
            <w:r>
              <w:rPr>
                <w:rFonts w:hint="eastAsia"/>
                <w:color w:val="auto"/>
                <w:highlight w:val="none"/>
                <w:lang w:eastAsia="zh-CN"/>
              </w:rPr>
              <w:t>优（</w:t>
            </w:r>
            <w:r>
              <w:rPr>
                <w:rFonts w:hint="eastAsia"/>
                <w:color w:val="auto"/>
                <w:highlight w:val="none"/>
                <w:lang w:val="en-US" w:eastAsia="zh-CN"/>
              </w:rPr>
              <w:t>15分</w:t>
            </w:r>
            <w:r>
              <w:rPr>
                <w:rFonts w:hint="eastAsia"/>
                <w:color w:val="auto"/>
                <w:highlight w:val="none"/>
                <w:lang w:eastAsia="zh-CN"/>
              </w:rPr>
              <w:t>）：投入的服务装备齐全，配备物资装全面且良好，对服装和装备定期检查更新，随时保持服务人员形象和专业能力，有效应付突发事件等。</w:t>
            </w:r>
            <w:bookmarkEnd w:id="83"/>
          </w:p>
        </w:tc>
        <w:tc>
          <w:tcPr>
            <w:tcW w:w="851" w:type="dxa"/>
            <w:vAlign w:val="center"/>
          </w:tcPr>
          <w:p w14:paraId="625BCA8E">
            <w:pPr>
              <w:spacing w:line="360" w:lineRule="auto"/>
              <w:jc w:val="center"/>
              <w:rPr>
                <w:rFonts w:hint="eastAsia" w:ascii="宋体" w:hAnsi="宋体" w:cs="宋体"/>
                <w:color w:val="auto"/>
                <w:kern w:val="0"/>
                <w:szCs w:val="21"/>
                <w:highlight w:val="none"/>
              </w:rPr>
            </w:pPr>
          </w:p>
        </w:tc>
      </w:tr>
      <w:tr w14:paraId="57DDF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239" w:type="dxa"/>
            <w:gridSpan w:val="3"/>
            <w:vAlign w:val="top"/>
          </w:tcPr>
          <w:p w14:paraId="4092220E">
            <w:pPr>
              <w:pStyle w:val="12"/>
              <w:spacing w:line="360" w:lineRule="auto"/>
              <w:ind w:firstLine="420" w:firstLineChars="200"/>
              <w:rPr>
                <w:rFonts w:hint="default" w:hAnsi="宋体" w:eastAsia="宋体" w:cs="宋体"/>
                <w:bCs/>
                <w:color w:val="auto"/>
                <w:kern w:val="2"/>
                <w:sz w:val="21"/>
                <w:highlight w:val="none"/>
                <w:lang w:val="en-US" w:eastAsia="zh-CN"/>
              </w:rPr>
            </w:pPr>
            <w:r>
              <w:rPr>
                <w:rFonts w:hint="eastAsia" w:hAnsi="宋体" w:cs="宋体"/>
                <w:bCs/>
                <w:color w:val="auto"/>
                <w:kern w:val="2"/>
                <w:sz w:val="21"/>
                <w:highlight w:val="none"/>
              </w:rPr>
              <w:t>总得分＝1＋2</w:t>
            </w:r>
          </w:p>
        </w:tc>
        <w:tc>
          <w:tcPr>
            <w:tcW w:w="851" w:type="dxa"/>
            <w:vAlign w:val="center"/>
          </w:tcPr>
          <w:p w14:paraId="41A4EE39">
            <w:pPr>
              <w:widowControl/>
              <w:spacing w:line="360" w:lineRule="auto"/>
              <w:jc w:val="center"/>
              <w:rPr>
                <w:rFonts w:hint="eastAsia" w:ascii="宋体" w:hAnsi="宋体" w:cs="宋体"/>
                <w:color w:val="auto"/>
                <w:kern w:val="0"/>
                <w:szCs w:val="21"/>
                <w:highlight w:val="none"/>
              </w:rPr>
            </w:pPr>
          </w:p>
        </w:tc>
      </w:tr>
      <w:tr w14:paraId="5BBC4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239" w:type="dxa"/>
            <w:gridSpan w:val="3"/>
            <w:vAlign w:val="top"/>
          </w:tcPr>
          <w:p w14:paraId="39CCC028">
            <w:pPr>
              <w:pStyle w:val="12"/>
              <w:spacing w:line="360" w:lineRule="auto"/>
              <w:ind w:firstLine="420" w:firstLineChars="200"/>
              <w:rPr>
                <w:rFonts w:hint="eastAsia" w:hAnsi="宋体" w:cs="宋体"/>
                <w:bCs/>
                <w:color w:val="auto"/>
                <w:kern w:val="2"/>
                <w:sz w:val="21"/>
                <w:highlight w:val="none"/>
              </w:rPr>
            </w:pPr>
          </w:p>
        </w:tc>
        <w:tc>
          <w:tcPr>
            <w:tcW w:w="851" w:type="dxa"/>
            <w:vAlign w:val="center"/>
          </w:tcPr>
          <w:p w14:paraId="75F2542E">
            <w:pPr>
              <w:widowControl/>
              <w:spacing w:line="360" w:lineRule="auto"/>
              <w:jc w:val="center"/>
              <w:rPr>
                <w:rFonts w:hint="eastAsia" w:ascii="宋体" w:hAnsi="宋体" w:cs="宋体"/>
                <w:color w:val="auto"/>
                <w:kern w:val="0"/>
                <w:szCs w:val="21"/>
                <w:highlight w:val="none"/>
              </w:rPr>
            </w:pPr>
          </w:p>
        </w:tc>
      </w:tr>
    </w:tbl>
    <w:p w14:paraId="29FCD2AD">
      <w:pPr>
        <w:spacing w:line="360" w:lineRule="auto"/>
        <w:ind w:firstLine="420" w:firstLineChars="200"/>
        <w:rPr>
          <w:rFonts w:ascii="宋体" w:hAnsi="宋体"/>
          <w:color w:val="auto"/>
          <w:szCs w:val="21"/>
          <w:highlight w:val="none"/>
        </w:rPr>
      </w:pPr>
      <w:r>
        <w:rPr>
          <w:rFonts w:ascii="宋体" w:hAnsi="宋体"/>
          <w:bCs/>
          <w:color w:val="auto"/>
          <w:szCs w:val="21"/>
          <w:highlight w:val="none"/>
        </w:rPr>
        <w:t>7.</w:t>
      </w:r>
      <w:r>
        <w:rPr>
          <w:rFonts w:hint="eastAsia" w:ascii="宋体" w:hAnsi="宋体"/>
          <w:bCs/>
          <w:color w:val="auto"/>
          <w:szCs w:val="21"/>
          <w:highlight w:val="none"/>
        </w:rPr>
        <w:t>由磋商小组根据综合评分情况，按照评审得分由高到低顺序推荐3名以上成交候选供应商，并编写评审报告。符合本章第</w:t>
      </w:r>
      <w:r>
        <w:rPr>
          <w:rFonts w:ascii="宋体" w:hAnsi="宋体"/>
          <w:bCs/>
          <w:color w:val="auto"/>
          <w:szCs w:val="21"/>
          <w:highlight w:val="none"/>
        </w:rPr>
        <w:t>4.3</w:t>
      </w:r>
      <w:r>
        <w:rPr>
          <w:rFonts w:hint="eastAsia" w:ascii="宋体" w:hAnsi="宋体"/>
          <w:bCs/>
          <w:color w:val="auto"/>
          <w:szCs w:val="21"/>
          <w:highlight w:val="none"/>
        </w:rPr>
        <w:t>条情形的，可以推荐2家成交候选供应商。评审得分相同的，按照最后报价（不计算价格折扣）由低到高的顺序推荐。评审得分且最后报价（不计算价格折扣）相同的，按照技术指标优劣顺序推荐（按技术得分由高到低排序，技术得分相同的按照服务需求偏离分由高到低排序）。评审得分、最后报价（不计算价格折扣）、技术得分、服务需求偏离分均相同的，由磋商小组随机抽取推荐。</w:t>
      </w:r>
    </w:p>
    <w:p w14:paraId="632AF629">
      <w:pPr>
        <w:spacing w:line="400" w:lineRule="exact"/>
        <w:ind w:firstLine="420" w:firstLineChars="200"/>
        <w:rPr>
          <w:rFonts w:ascii="宋体" w:hAnsi="宋体" w:cs="宋体"/>
          <w:color w:val="auto"/>
          <w:highlight w:val="none"/>
        </w:rPr>
      </w:pPr>
    </w:p>
    <w:p w14:paraId="02326F65">
      <w:pPr>
        <w:spacing w:line="400" w:lineRule="exact"/>
        <w:ind w:firstLine="420" w:firstLineChars="200"/>
        <w:rPr>
          <w:rFonts w:ascii="宋体" w:hAnsi="宋体" w:cs="宋体"/>
          <w:color w:val="auto"/>
          <w:highlight w:val="none"/>
        </w:rPr>
      </w:pPr>
    </w:p>
    <w:p w14:paraId="63E829C4">
      <w:pPr>
        <w:pStyle w:val="3"/>
        <w:rPr>
          <w:color w:val="auto"/>
          <w:highlight w:val="none"/>
        </w:rPr>
      </w:pPr>
    </w:p>
    <w:p w14:paraId="5C972742">
      <w:pPr>
        <w:pStyle w:val="3"/>
        <w:jc w:val="center"/>
        <w:rPr>
          <w:color w:val="auto"/>
          <w:highlight w:val="none"/>
        </w:rPr>
      </w:pPr>
      <w:r>
        <w:rPr>
          <w:color w:val="auto"/>
          <w:highlight w:val="none"/>
        </w:rPr>
        <w:br w:type="page"/>
      </w:r>
      <w:bookmarkStart w:id="84" w:name="_Toc27815"/>
      <w:r>
        <w:rPr>
          <w:rFonts w:hint="eastAsia"/>
          <w:color w:val="auto"/>
          <w:highlight w:val="none"/>
        </w:rPr>
        <w:t>第五章 响应文件格式</w:t>
      </w:r>
      <w:bookmarkEnd w:id="84"/>
    </w:p>
    <w:p w14:paraId="2DCA04C4">
      <w:pPr>
        <w:spacing w:line="240" w:lineRule="atLeast"/>
        <w:rPr>
          <w:rFonts w:ascii="宋体" w:hAnsi="宋体"/>
          <w:b/>
          <w:color w:val="auto"/>
          <w:sz w:val="32"/>
          <w:szCs w:val="32"/>
          <w:highlight w:val="none"/>
        </w:rPr>
      </w:pPr>
    </w:p>
    <w:p w14:paraId="3A259B5C">
      <w:pPr>
        <w:snapToGrid w:val="0"/>
        <w:spacing w:before="50" w:after="50"/>
        <w:outlineLvl w:val="1"/>
        <w:rPr>
          <w:rFonts w:ascii="宋体" w:hAnsi="宋体"/>
          <w:b/>
          <w:bCs/>
          <w:color w:val="auto"/>
          <w:sz w:val="24"/>
          <w:highlight w:val="none"/>
        </w:rPr>
      </w:pPr>
    </w:p>
    <w:p w14:paraId="4FC5EF30">
      <w:pPr>
        <w:snapToGrid w:val="0"/>
        <w:spacing w:before="50" w:after="50"/>
        <w:outlineLvl w:val="1"/>
        <w:rPr>
          <w:rFonts w:ascii="宋体" w:hAnsi="宋体"/>
          <w:b/>
          <w:bCs/>
          <w:color w:val="auto"/>
          <w:sz w:val="32"/>
          <w:szCs w:val="32"/>
          <w:highlight w:val="none"/>
        </w:rPr>
      </w:pPr>
      <w:bookmarkStart w:id="85" w:name="_Toc26127"/>
      <w:bookmarkStart w:id="86" w:name="_Toc44229898"/>
      <w:r>
        <w:rPr>
          <w:rFonts w:hint="eastAsia" w:ascii="宋体" w:hAnsi="宋体"/>
          <w:b/>
          <w:color w:val="auto"/>
          <w:sz w:val="32"/>
          <w:szCs w:val="32"/>
          <w:highlight w:val="none"/>
        </w:rPr>
        <w:t>（</w:t>
      </w:r>
      <w:bookmarkStart w:id="87" w:name="_Toc35611437"/>
      <w:bookmarkStart w:id="88" w:name="_Toc35611515"/>
      <w:r>
        <w:rPr>
          <w:rFonts w:hint="eastAsia" w:ascii="宋体" w:hAnsi="宋体"/>
          <w:b/>
          <w:bCs/>
          <w:color w:val="auto"/>
          <w:sz w:val="32"/>
          <w:szCs w:val="32"/>
          <w:highlight w:val="none"/>
        </w:rPr>
        <w:t>响应文件外层包装封面格式</w:t>
      </w:r>
      <w:bookmarkEnd w:id="87"/>
      <w:bookmarkEnd w:id="88"/>
      <w:r>
        <w:rPr>
          <w:rFonts w:hint="eastAsia" w:ascii="宋体" w:hAnsi="宋体"/>
          <w:b/>
          <w:color w:val="auto"/>
          <w:sz w:val="32"/>
          <w:szCs w:val="32"/>
          <w:highlight w:val="none"/>
        </w:rPr>
        <w:t xml:space="preserve"> ）</w:t>
      </w:r>
      <w:bookmarkEnd w:id="85"/>
      <w:bookmarkEnd w:id="86"/>
    </w:p>
    <w:p w14:paraId="7775EB50">
      <w:pPr>
        <w:snapToGrid w:val="0"/>
        <w:spacing w:before="156" w:beforeLines="50" w:after="50"/>
        <w:rPr>
          <w:rFonts w:ascii="宋体" w:hAnsi="宋体"/>
          <w:color w:val="auto"/>
          <w:sz w:val="24"/>
          <w:szCs w:val="20"/>
          <w:highlight w:val="none"/>
        </w:rPr>
      </w:pPr>
    </w:p>
    <w:p w14:paraId="01D144F7">
      <w:pPr>
        <w:snapToGrid w:val="0"/>
        <w:spacing w:before="156" w:beforeLines="50" w:after="50"/>
        <w:jc w:val="center"/>
        <w:rPr>
          <w:rFonts w:ascii="宋体" w:hAnsi="宋体"/>
          <w:bCs/>
          <w:color w:val="auto"/>
          <w:sz w:val="24"/>
          <w:szCs w:val="20"/>
          <w:highlight w:val="none"/>
        </w:rPr>
      </w:pPr>
    </w:p>
    <w:p w14:paraId="544F7698">
      <w:pPr>
        <w:snapToGrid w:val="0"/>
        <w:spacing w:before="156" w:beforeLines="50" w:after="50"/>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响  应  文  件</w:t>
      </w:r>
    </w:p>
    <w:p w14:paraId="07858E46">
      <w:pPr>
        <w:snapToGrid w:val="0"/>
        <w:spacing w:before="156" w:beforeLines="50" w:after="50"/>
        <w:rPr>
          <w:rFonts w:ascii="宋体" w:hAnsi="宋体"/>
          <w:bCs/>
          <w:color w:val="auto"/>
          <w:sz w:val="24"/>
          <w:szCs w:val="20"/>
          <w:highlight w:val="none"/>
        </w:rPr>
      </w:pPr>
    </w:p>
    <w:p w14:paraId="29AFD0DF">
      <w:pPr>
        <w:snapToGrid w:val="0"/>
        <w:spacing w:before="156" w:beforeLines="50" w:after="50"/>
        <w:rPr>
          <w:rFonts w:ascii="宋体" w:hAnsi="宋体"/>
          <w:bCs/>
          <w:color w:val="auto"/>
          <w:sz w:val="24"/>
          <w:szCs w:val="20"/>
          <w:highlight w:val="none"/>
        </w:rPr>
      </w:pPr>
    </w:p>
    <w:p w14:paraId="58ECD2C0">
      <w:pPr>
        <w:snapToGrid w:val="0"/>
        <w:spacing w:before="156" w:beforeLines="50" w:after="50"/>
        <w:rPr>
          <w:rFonts w:ascii="仿宋_GB2312" w:hAnsi="仿宋_GB2312" w:eastAsia="仿宋_GB2312" w:cs="仿宋_GB2312"/>
          <w:bCs/>
          <w:color w:val="auto"/>
          <w:sz w:val="32"/>
          <w:szCs w:val="32"/>
          <w:highlight w:val="none"/>
        </w:rPr>
      </w:pPr>
    </w:p>
    <w:p w14:paraId="105E047E">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项目名称：</w:t>
      </w:r>
    </w:p>
    <w:p w14:paraId="01DF091A">
      <w:pPr>
        <w:snapToGrid w:val="0"/>
        <w:spacing w:before="156" w:beforeLines="50" w:after="50"/>
        <w:ind w:firstLine="480" w:firstLineChars="150"/>
        <w:rPr>
          <w:rFonts w:ascii="宋体" w:hAnsi="宋体" w:cs="仿宋_GB2312"/>
          <w:bCs/>
          <w:color w:val="auto"/>
          <w:sz w:val="32"/>
          <w:szCs w:val="32"/>
          <w:highlight w:val="none"/>
        </w:rPr>
      </w:pPr>
    </w:p>
    <w:p w14:paraId="646CEE2E">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项目编号：</w:t>
      </w:r>
    </w:p>
    <w:p w14:paraId="41FA3C58">
      <w:pPr>
        <w:snapToGrid w:val="0"/>
        <w:spacing w:before="156" w:beforeLines="50" w:after="50"/>
        <w:ind w:firstLine="480" w:firstLineChars="150"/>
        <w:rPr>
          <w:rFonts w:ascii="宋体" w:hAnsi="宋体" w:cs="仿宋_GB2312"/>
          <w:bCs/>
          <w:color w:val="auto"/>
          <w:sz w:val="32"/>
          <w:szCs w:val="32"/>
          <w:highlight w:val="none"/>
        </w:rPr>
      </w:pPr>
    </w:p>
    <w:p w14:paraId="37E9E073">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所竞分标（如有则填写，无分标时填写“无”或者留空）：</w:t>
      </w:r>
    </w:p>
    <w:p w14:paraId="22546582">
      <w:pPr>
        <w:snapToGrid w:val="0"/>
        <w:spacing w:before="156" w:beforeLines="50" w:after="50"/>
        <w:rPr>
          <w:rFonts w:ascii="宋体" w:hAnsi="宋体" w:cs="仿宋_GB2312"/>
          <w:bCs/>
          <w:color w:val="auto"/>
          <w:sz w:val="32"/>
          <w:szCs w:val="32"/>
          <w:highlight w:val="none"/>
        </w:rPr>
      </w:pPr>
    </w:p>
    <w:p w14:paraId="1AC6FBE1">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供应商名称：</w:t>
      </w:r>
    </w:p>
    <w:p w14:paraId="5EB99D6F">
      <w:pPr>
        <w:snapToGrid w:val="0"/>
        <w:spacing w:before="156" w:beforeLines="50" w:after="50"/>
        <w:rPr>
          <w:rFonts w:ascii="宋体" w:hAnsi="宋体" w:cs="仿宋_GB2312"/>
          <w:bCs/>
          <w:color w:val="auto"/>
          <w:sz w:val="32"/>
          <w:szCs w:val="32"/>
          <w:highlight w:val="none"/>
        </w:rPr>
      </w:pPr>
    </w:p>
    <w:p w14:paraId="11D99C18">
      <w:pPr>
        <w:snapToGrid w:val="0"/>
        <w:spacing w:before="156" w:beforeLines="50" w:after="50"/>
        <w:ind w:firstLine="480" w:firstLineChars="150"/>
        <w:jc w:val="center"/>
        <w:rPr>
          <w:rFonts w:ascii="宋体" w:hAnsi="宋体" w:cs="仿宋_GB2312"/>
          <w:bCs/>
          <w:color w:val="auto"/>
          <w:sz w:val="32"/>
          <w:szCs w:val="32"/>
          <w:highlight w:val="none"/>
        </w:rPr>
      </w:pPr>
      <w:r>
        <w:rPr>
          <w:rFonts w:hint="eastAsia" w:ascii="宋体" w:hAnsi="宋体" w:cs="仿宋_GB2312"/>
          <w:bCs/>
          <w:color w:val="auto"/>
          <w:sz w:val="32"/>
          <w:szCs w:val="32"/>
          <w:highlight w:val="none"/>
        </w:rPr>
        <w:t>首次响应文件提交截止时间前不得启封</w:t>
      </w:r>
    </w:p>
    <w:p w14:paraId="6446065B">
      <w:pPr>
        <w:snapToGrid w:val="0"/>
        <w:spacing w:before="156" w:beforeLines="50" w:after="50"/>
        <w:ind w:firstLine="5440" w:firstLineChars="1700"/>
        <w:jc w:val="center"/>
        <w:rPr>
          <w:rFonts w:ascii="宋体" w:hAnsi="宋体" w:cs="仿宋_GB2312"/>
          <w:bCs/>
          <w:color w:val="auto"/>
          <w:sz w:val="32"/>
          <w:szCs w:val="32"/>
          <w:highlight w:val="none"/>
        </w:rPr>
      </w:pPr>
    </w:p>
    <w:p w14:paraId="6D6EAF64">
      <w:pPr>
        <w:snapToGrid w:val="0"/>
        <w:spacing w:before="156" w:beforeLines="50" w:after="50"/>
        <w:ind w:firstLine="645"/>
        <w:jc w:val="center"/>
        <w:rPr>
          <w:rFonts w:ascii="宋体" w:hAnsi="宋体" w:cs="仿宋_GB2312"/>
          <w:bCs/>
          <w:color w:val="auto"/>
          <w:sz w:val="32"/>
          <w:szCs w:val="32"/>
          <w:highlight w:val="none"/>
        </w:rPr>
      </w:pPr>
      <w:r>
        <w:rPr>
          <w:rFonts w:hint="eastAsia" w:ascii="宋体" w:hAnsi="宋体" w:cs="仿宋_GB2312"/>
          <w:bCs/>
          <w:color w:val="auto"/>
          <w:sz w:val="32"/>
          <w:szCs w:val="32"/>
          <w:highlight w:val="none"/>
        </w:rPr>
        <w:t>年    月    日</w:t>
      </w:r>
    </w:p>
    <w:p w14:paraId="4A4B8377">
      <w:pPr>
        <w:spacing w:line="240" w:lineRule="atLeast"/>
        <w:rPr>
          <w:rFonts w:ascii="宋体" w:hAnsi="宋体"/>
          <w:bCs/>
          <w:color w:val="auto"/>
          <w:sz w:val="32"/>
          <w:szCs w:val="32"/>
          <w:highlight w:val="none"/>
        </w:rPr>
      </w:pPr>
      <w:r>
        <w:rPr>
          <w:rFonts w:ascii="宋体" w:hAnsi="宋体"/>
          <w:bCs/>
          <w:color w:val="auto"/>
          <w:sz w:val="24"/>
          <w:highlight w:val="none"/>
        </w:rPr>
        <w:br w:type="page"/>
      </w:r>
      <w:r>
        <w:rPr>
          <w:rFonts w:hint="eastAsia" w:ascii="宋体" w:hAnsi="宋体"/>
          <w:b/>
          <w:bCs/>
          <w:color w:val="auto"/>
          <w:sz w:val="32"/>
          <w:szCs w:val="32"/>
          <w:highlight w:val="none"/>
        </w:rPr>
        <w:t>（响应文件封面格式）</w:t>
      </w:r>
    </w:p>
    <w:p w14:paraId="4DFF5B0D">
      <w:pPr>
        <w:spacing w:line="240" w:lineRule="atLeast"/>
        <w:jc w:val="center"/>
        <w:rPr>
          <w:rFonts w:ascii="宋体" w:hAnsi="宋体"/>
          <w:bCs/>
          <w:color w:val="auto"/>
          <w:sz w:val="24"/>
          <w:highlight w:val="none"/>
        </w:rPr>
      </w:pPr>
    </w:p>
    <w:p w14:paraId="5854CE00">
      <w:pPr>
        <w:spacing w:line="240" w:lineRule="atLeast"/>
        <w:jc w:val="center"/>
        <w:rPr>
          <w:rFonts w:ascii="宋体" w:hAnsi="宋体"/>
          <w:bCs/>
          <w:color w:val="auto"/>
          <w:sz w:val="24"/>
          <w:highlight w:val="none"/>
        </w:rPr>
      </w:pPr>
    </w:p>
    <w:p w14:paraId="486FAC64">
      <w:pPr>
        <w:spacing w:line="240" w:lineRule="atLeast"/>
        <w:jc w:val="center"/>
        <w:rPr>
          <w:rFonts w:ascii="宋体" w:hAnsi="宋体"/>
          <w:bCs/>
          <w:color w:val="auto"/>
          <w:sz w:val="24"/>
          <w:highlight w:val="none"/>
        </w:rPr>
      </w:pPr>
    </w:p>
    <w:p w14:paraId="7F3562B9">
      <w:pPr>
        <w:spacing w:line="240" w:lineRule="atLeast"/>
        <w:jc w:val="center"/>
        <w:rPr>
          <w:rFonts w:ascii="方正小标宋简体" w:hAnsi="方正小标宋简体" w:eastAsia="方正小标宋简体" w:cs="方正小标宋简体"/>
          <w:bCs/>
          <w:color w:val="auto"/>
          <w:sz w:val="44"/>
          <w:szCs w:val="44"/>
          <w:highlight w:val="none"/>
        </w:rPr>
      </w:pPr>
    </w:p>
    <w:p w14:paraId="3E1950B6">
      <w:pPr>
        <w:spacing w:line="240" w:lineRule="atLeast"/>
        <w:jc w:val="center"/>
        <w:rPr>
          <w:rFonts w:ascii="方正小标宋简体" w:hAnsi="方正小标宋简体" w:eastAsia="方正小标宋简体" w:cs="方正小标宋简体"/>
          <w:bCs/>
          <w:color w:val="auto"/>
          <w:sz w:val="44"/>
          <w:szCs w:val="44"/>
          <w:highlight w:val="none"/>
        </w:rPr>
      </w:pPr>
    </w:p>
    <w:p w14:paraId="6C3A398B">
      <w:pPr>
        <w:spacing w:line="240" w:lineRule="atLeast"/>
        <w:jc w:val="center"/>
        <w:rPr>
          <w:rFonts w:ascii="宋体" w:hAnsi="宋体"/>
          <w:b/>
          <w:color w:val="auto"/>
          <w:sz w:val="32"/>
          <w:szCs w:val="32"/>
          <w:highlight w:val="none"/>
        </w:rPr>
      </w:pPr>
      <w:r>
        <w:rPr>
          <w:rFonts w:hint="eastAsia" w:ascii="方正小标宋简体" w:hAnsi="方正小标宋简体" w:eastAsia="方正小标宋简体" w:cs="方正小标宋简体"/>
          <w:bCs/>
          <w:color w:val="auto"/>
          <w:sz w:val="44"/>
          <w:szCs w:val="44"/>
          <w:highlight w:val="none"/>
        </w:rPr>
        <w:t>响  应  文  件</w:t>
      </w:r>
      <w:r>
        <w:rPr>
          <w:rFonts w:hint="eastAsia" w:ascii="宋体" w:hAnsi="宋体"/>
          <w:b/>
          <w:color w:val="auto"/>
          <w:sz w:val="32"/>
          <w:szCs w:val="32"/>
          <w:highlight w:val="none"/>
        </w:rPr>
        <w:t xml:space="preserve"> </w:t>
      </w:r>
      <w:r>
        <w:rPr>
          <w:rFonts w:hint="eastAsia" w:ascii="宋体" w:hAnsi="宋体"/>
          <w:color w:val="auto"/>
          <w:szCs w:val="21"/>
          <w:highlight w:val="none"/>
        </w:rPr>
        <w:t>(封面)</w:t>
      </w:r>
    </w:p>
    <w:p w14:paraId="10BE8B20">
      <w:pPr>
        <w:spacing w:line="360" w:lineRule="auto"/>
        <w:jc w:val="center"/>
        <w:rPr>
          <w:rFonts w:ascii="宋体" w:hAnsi="宋体"/>
          <w:color w:val="auto"/>
          <w:szCs w:val="21"/>
          <w:highlight w:val="none"/>
        </w:rPr>
      </w:pPr>
    </w:p>
    <w:p w14:paraId="78EC0764">
      <w:pPr>
        <w:spacing w:line="360" w:lineRule="auto"/>
        <w:jc w:val="center"/>
        <w:rPr>
          <w:rFonts w:ascii="宋体" w:hAnsi="宋体"/>
          <w:color w:val="auto"/>
          <w:szCs w:val="21"/>
          <w:highlight w:val="none"/>
        </w:rPr>
      </w:pPr>
    </w:p>
    <w:p w14:paraId="11E46D15">
      <w:pPr>
        <w:spacing w:line="360" w:lineRule="auto"/>
        <w:jc w:val="center"/>
        <w:rPr>
          <w:rFonts w:ascii="宋体" w:hAnsi="宋体"/>
          <w:color w:val="auto"/>
          <w:szCs w:val="21"/>
          <w:highlight w:val="none"/>
        </w:rPr>
      </w:pPr>
    </w:p>
    <w:p w14:paraId="03398BE2">
      <w:pPr>
        <w:spacing w:line="360" w:lineRule="auto"/>
        <w:jc w:val="center"/>
        <w:rPr>
          <w:rFonts w:ascii="宋体" w:hAnsi="宋体"/>
          <w:color w:val="auto"/>
          <w:szCs w:val="21"/>
          <w:highlight w:val="none"/>
        </w:rPr>
      </w:pPr>
    </w:p>
    <w:p w14:paraId="51B81AFE">
      <w:pPr>
        <w:spacing w:line="360" w:lineRule="auto"/>
        <w:jc w:val="left"/>
        <w:rPr>
          <w:rFonts w:ascii="仿宋_GB2312" w:hAnsi="仿宋_GB2312" w:eastAsia="仿宋_GB2312" w:cs="仿宋_GB2312"/>
          <w:color w:val="auto"/>
          <w:sz w:val="32"/>
          <w:szCs w:val="32"/>
          <w:highlight w:val="none"/>
        </w:rPr>
      </w:pPr>
    </w:p>
    <w:p w14:paraId="1EF05D77">
      <w:pPr>
        <w:spacing w:line="360" w:lineRule="auto"/>
        <w:ind w:firstLine="640" w:firstLineChars="200"/>
        <w:jc w:val="left"/>
        <w:rPr>
          <w:rFonts w:ascii="宋体" w:hAnsi="宋体" w:cs="仿宋_GB2312"/>
          <w:color w:val="auto"/>
          <w:sz w:val="32"/>
          <w:szCs w:val="32"/>
          <w:highlight w:val="none"/>
        </w:rPr>
      </w:pPr>
      <w:r>
        <w:rPr>
          <w:rFonts w:hint="eastAsia" w:ascii="宋体" w:hAnsi="宋体" w:cs="仿宋_GB2312"/>
          <w:color w:val="auto"/>
          <w:sz w:val="32"/>
          <w:szCs w:val="32"/>
          <w:highlight w:val="none"/>
        </w:rPr>
        <w:t>项目编号：</w:t>
      </w:r>
    </w:p>
    <w:p w14:paraId="063E6AE3">
      <w:pPr>
        <w:spacing w:line="360" w:lineRule="auto"/>
        <w:ind w:firstLine="640" w:firstLineChars="200"/>
        <w:jc w:val="left"/>
        <w:rPr>
          <w:rFonts w:ascii="宋体" w:hAnsi="宋体" w:cs="仿宋_GB2312"/>
          <w:color w:val="auto"/>
          <w:sz w:val="32"/>
          <w:szCs w:val="32"/>
          <w:highlight w:val="none"/>
          <w:u w:val="single"/>
        </w:rPr>
      </w:pPr>
    </w:p>
    <w:p w14:paraId="239732F9">
      <w:pPr>
        <w:tabs>
          <w:tab w:val="left" w:pos="3240"/>
        </w:tabs>
        <w:spacing w:line="360" w:lineRule="auto"/>
        <w:ind w:firstLine="640" w:firstLineChars="200"/>
        <w:jc w:val="left"/>
        <w:rPr>
          <w:rFonts w:ascii="宋体" w:hAnsi="宋体" w:cs="仿宋_GB2312"/>
          <w:color w:val="auto"/>
          <w:sz w:val="32"/>
          <w:szCs w:val="32"/>
          <w:highlight w:val="none"/>
        </w:rPr>
      </w:pPr>
      <w:r>
        <w:rPr>
          <w:rFonts w:hint="eastAsia" w:ascii="宋体" w:hAnsi="宋体" w:cs="仿宋_GB2312"/>
          <w:color w:val="auto"/>
          <w:sz w:val="32"/>
          <w:szCs w:val="32"/>
          <w:highlight w:val="none"/>
        </w:rPr>
        <w:t>项目名称：</w:t>
      </w:r>
    </w:p>
    <w:p w14:paraId="7A8B503F">
      <w:pPr>
        <w:tabs>
          <w:tab w:val="left" w:pos="3240"/>
        </w:tabs>
        <w:spacing w:line="360" w:lineRule="auto"/>
        <w:ind w:firstLine="640" w:firstLineChars="200"/>
        <w:jc w:val="left"/>
        <w:rPr>
          <w:rFonts w:ascii="宋体" w:hAnsi="宋体" w:cs="仿宋_GB2312"/>
          <w:color w:val="auto"/>
          <w:sz w:val="32"/>
          <w:szCs w:val="32"/>
          <w:highlight w:val="none"/>
          <w:u w:val="single"/>
        </w:rPr>
      </w:pPr>
    </w:p>
    <w:p w14:paraId="4D928044">
      <w:pPr>
        <w:spacing w:line="360" w:lineRule="auto"/>
        <w:ind w:firstLine="640" w:firstLineChars="200"/>
        <w:jc w:val="left"/>
        <w:rPr>
          <w:rFonts w:ascii="宋体" w:hAnsi="宋体" w:cs="仿宋_GB2312"/>
          <w:color w:val="auto"/>
          <w:sz w:val="32"/>
          <w:szCs w:val="32"/>
          <w:highlight w:val="none"/>
        </w:rPr>
      </w:pPr>
      <w:r>
        <w:rPr>
          <w:rFonts w:hint="eastAsia" w:ascii="宋体" w:hAnsi="宋体" w:cs="仿宋_GB2312"/>
          <w:color w:val="auto"/>
          <w:sz w:val="32"/>
          <w:szCs w:val="32"/>
          <w:highlight w:val="none"/>
        </w:rPr>
        <w:t>所竞分标</w:t>
      </w:r>
      <w:r>
        <w:rPr>
          <w:rFonts w:hint="eastAsia" w:ascii="宋体" w:hAnsi="宋体" w:cs="仿宋_GB2312"/>
          <w:bCs/>
          <w:color w:val="auto"/>
          <w:sz w:val="32"/>
          <w:szCs w:val="32"/>
          <w:highlight w:val="none"/>
        </w:rPr>
        <w:t>（如有则填写，无分标时填写“无”或者留空）</w:t>
      </w:r>
      <w:r>
        <w:rPr>
          <w:rFonts w:hint="eastAsia" w:ascii="宋体" w:hAnsi="宋体" w:cs="仿宋_GB2312"/>
          <w:color w:val="auto"/>
          <w:sz w:val="32"/>
          <w:szCs w:val="32"/>
          <w:highlight w:val="none"/>
        </w:rPr>
        <w:t>：</w:t>
      </w:r>
    </w:p>
    <w:p w14:paraId="084F8274">
      <w:pPr>
        <w:spacing w:line="360" w:lineRule="auto"/>
        <w:ind w:firstLine="640" w:firstLineChars="200"/>
        <w:jc w:val="left"/>
        <w:rPr>
          <w:rFonts w:ascii="宋体" w:hAnsi="宋体" w:cs="仿宋_GB2312"/>
          <w:color w:val="auto"/>
          <w:sz w:val="32"/>
          <w:szCs w:val="32"/>
          <w:highlight w:val="none"/>
          <w:u w:val="single"/>
        </w:rPr>
      </w:pPr>
    </w:p>
    <w:p w14:paraId="6D4C5622">
      <w:pPr>
        <w:spacing w:line="360" w:lineRule="auto"/>
        <w:ind w:firstLine="640" w:firstLineChars="200"/>
        <w:jc w:val="left"/>
        <w:rPr>
          <w:rFonts w:ascii="宋体" w:hAnsi="宋体" w:cs="仿宋_GB2312"/>
          <w:color w:val="auto"/>
          <w:sz w:val="32"/>
          <w:szCs w:val="32"/>
          <w:highlight w:val="none"/>
          <w:u w:val="single"/>
        </w:rPr>
      </w:pPr>
      <w:r>
        <w:rPr>
          <w:rFonts w:hint="eastAsia" w:ascii="宋体" w:hAnsi="宋体" w:cs="仿宋_GB2312"/>
          <w:color w:val="auto"/>
          <w:sz w:val="32"/>
          <w:szCs w:val="32"/>
          <w:highlight w:val="none"/>
        </w:rPr>
        <w:t>供应商名称：</w:t>
      </w:r>
    </w:p>
    <w:p w14:paraId="249146D2">
      <w:pPr>
        <w:snapToGrid w:val="0"/>
        <w:spacing w:before="156" w:beforeLines="50" w:after="50"/>
        <w:rPr>
          <w:rFonts w:ascii="宋体" w:hAnsi="宋体" w:cs="仿宋_GB2312"/>
          <w:color w:val="auto"/>
          <w:sz w:val="32"/>
          <w:szCs w:val="32"/>
          <w:highlight w:val="none"/>
        </w:rPr>
      </w:pPr>
    </w:p>
    <w:p w14:paraId="7456B27D">
      <w:pPr>
        <w:snapToGrid w:val="0"/>
        <w:spacing w:before="156" w:beforeLines="50" w:after="50"/>
        <w:rPr>
          <w:rFonts w:ascii="宋体" w:hAnsi="宋体" w:cs="仿宋_GB2312"/>
          <w:color w:val="auto"/>
          <w:sz w:val="32"/>
          <w:szCs w:val="32"/>
          <w:highlight w:val="none"/>
        </w:rPr>
      </w:pPr>
    </w:p>
    <w:p w14:paraId="3D0A5B33">
      <w:pPr>
        <w:snapToGrid w:val="0"/>
        <w:spacing w:before="156" w:beforeLines="50" w:after="50"/>
        <w:rPr>
          <w:rFonts w:ascii="宋体" w:hAnsi="宋体" w:cs="仿宋_GB2312"/>
          <w:color w:val="auto"/>
          <w:sz w:val="32"/>
          <w:szCs w:val="32"/>
          <w:highlight w:val="none"/>
        </w:rPr>
      </w:pPr>
    </w:p>
    <w:p w14:paraId="51597BAF">
      <w:pPr>
        <w:snapToGrid w:val="0"/>
        <w:spacing w:before="156"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年    月    日</w:t>
      </w:r>
    </w:p>
    <w:p w14:paraId="70EABF57">
      <w:pPr>
        <w:snapToGrid w:val="0"/>
        <w:spacing w:before="156" w:beforeLines="50" w:after="50"/>
        <w:jc w:val="center"/>
        <w:rPr>
          <w:rFonts w:ascii="仿宋_GB2312" w:hAnsi="仿宋_GB2312" w:eastAsia="仿宋_GB2312" w:cs="仿宋_GB2312"/>
          <w:bCs/>
          <w:color w:val="auto"/>
          <w:sz w:val="32"/>
          <w:szCs w:val="32"/>
          <w:highlight w:val="none"/>
        </w:rPr>
      </w:pPr>
      <w:r>
        <w:rPr>
          <w:rFonts w:ascii="仿宋_GB2312" w:hAnsi="仿宋_GB2312" w:eastAsia="仿宋_GB2312" w:cs="仿宋_GB2312"/>
          <w:color w:val="auto"/>
          <w:sz w:val="32"/>
          <w:szCs w:val="32"/>
          <w:highlight w:val="none"/>
        </w:rPr>
        <w:br w:type="page"/>
      </w:r>
    </w:p>
    <w:p w14:paraId="78BB537B">
      <w:pPr>
        <w:snapToGrid w:val="0"/>
        <w:spacing w:before="156" w:beforeLines="50" w:after="50" w:line="360" w:lineRule="auto"/>
        <w:outlineLvl w:val="1"/>
        <w:rPr>
          <w:rFonts w:ascii="宋体" w:hAnsi="宋体"/>
          <w:b/>
          <w:bCs/>
          <w:color w:val="auto"/>
          <w:sz w:val="32"/>
          <w:szCs w:val="32"/>
          <w:highlight w:val="none"/>
        </w:rPr>
      </w:pPr>
      <w:bookmarkStart w:id="89" w:name="_Toc31723070"/>
      <w:bookmarkStart w:id="90" w:name="_Toc35611438"/>
      <w:bookmarkStart w:id="91" w:name="_Toc44229899"/>
      <w:bookmarkStart w:id="92" w:name="_Toc16784"/>
      <w:bookmarkStart w:id="93" w:name="_Toc35611516"/>
      <w:bookmarkStart w:id="94" w:name="_Toc31728084"/>
      <w:r>
        <w:rPr>
          <w:rFonts w:hint="eastAsia" w:ascii="宋体" w:hAnsi="宋体"/>
          <w:b/>
          <w:bCs/>
          <w:color w:val="auto"/>
          <w:sz w:val="32"/>
          <w:szCs w:val="32"/>
          <w:highlight w:val="none"/>
        </w:rPr>
        <w:t>一、资格证明文件格式</w:t>
      </w:r>
      <w:bookmarkEnd w:id="89"/>
      <w:bookmarkEnd w:id="90"/>
      <w:bookmarkEnd w:id="91"/>
      <w:bookmarkEnd w:id="92"/>
      <w:bookmarkEnd w:id="93"/>
      <w:bookmarkEnd w:id="94"/>
    </w:p>
    <w:p w14:paraId="457E7EA8">
      <w:pPr>
        <w:snapToGrid w:val="0"/>
        <w:spacing w:before="156" w:beforeLines="50" w:after="50" w:line="360" w:lineRule="auto"/>
        <w:jc w:val="left"/>
        <w:rPr>
          <w:rFonts w:ascii="宋体" w:hAnsi="宋体"/>
          <w:b/>
          <w:color w:val="auto"/>
          <w:sz w:val="24"/>
          <w:highlight w:val="none"/>
        </w:rPr>
      </w:pPr>
      <w:r>
        <w:rPr>
          <w:rFonts w:hint="eastAsia" w:ascii="宋体" w:hAnsi="宋体"/>
          <w:b/>
          <w:color w:val="auto"/>
          <w:sz w:val="32"/>
          <w:szCs w:val="32"/>
          <w:highlight w:val="none"/>
        </w:rPr>
        <w:t>1.资格证明文件封面格式：</w:t>
      </w:r>
      <w:r>
        <w:rPr>
          <w:rFonts w:hint="eastAsia" w:ascii="宋体" w:hAnsi="宋体"/>
          <w:b/>
          <w:color w:val="auto"/>
          <w:sz w:val="24"/>
          <w:highlight w:val="none"/>
        </w:rPr>
        <w:t xml:space="preserve"> </w:t>
      </w:r>
    </w:p>
    <w:p w14:paraId="20CDDF4E">
      <w:pPr>
        <w:snapToGrid w:val="0"/>
        <w:spacing w:before="156" w:beforeLines="50" w:after="50"/>
        <w:rPr>
          <w:rFonts w:ascii="宋体" w:hAnsi="宋体"/>
          <w:bCs/>
          <w:color w:val="auto"/>
          <w:sz w:val="32"/>
          <w:szCs w:val="20"/>
          <w:highlight w:val="none"/>
        </w:rPr>
      </w:pPr>
      <w:r>
        <w:rPr>
          <w:rFonts w:hint="eastAsia" w:ascii="宋体" w:hAnsi="宋体"/>
          <w:color w:val="auto"/>
          <w:sz w:val="24"/>
          <w:highlight w:val="none"/>
        </w:rPr>
        <w:t xml:space="preserve">                                                    </w:t>
      </w:r>
      <w:r>
        <w:rPr>
          <w:rFonts w:hint="eastAsia" w:ascii="宋体" w:hAnsi="宋体"/>
          <w:bCs/>
          <w:color w:val="auto"/>
          <w:highlight w:val="none"/>
        </w:rPr>
        <w:t>正本/副本</w:t>
      </w:r>
    </w:p>
    <w:p w14:paraId="14FC78DF">
      <w:pPr>
        <w:snapToGrid w:val="0"/>
        <w:spacing w:before="156" w:beforeLines="50" w:after="50"/>
        <w:rPr>
          <w:rFonts w:ascii="宋体" w:hAnsi="宋体"/>
          <w:color w:val="auto"/>
          <w:sz w:val="24"/>
          <w:szCs w:val="20"/>
          <w:highlight w:val="none"/>
        </w:rPr>
      </w:pPr>
    </w:p>
    <w:p w14:paraId="34B5CC11">
      <w:pPr>
        <w:snapToGrid w:val="0"/>
        <w:spacing w:before="156" w:beforeLines="50" w:after="50"/>
        <w:rPr>
          <w:rFonts w:ascii="宋体" w:hAnsi="宋体"/>
          <w:color w:val="auto"/>
          <w:sz w:val="24"/>
          <w:szCs w:val="20"/>
          <w:highlight w:val="none"/>
        </w:rPr>
      </w:pPr>
    </w:p>
    <w:p w14:paraId="3D6285D6">
      <w:pPr>
        <w:snapToGrid w:val="0"/>
        <w:spacing w:before="156" w:beforeLines="50" w:after="50"/>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资  格  证  明  文  件</w:t>
      </w:r>
    </w:p>
    <w:p w14:paraId="07B53E88">
      <w:pPr>
        <w:snapToGrid w:val="0"/>
        <w:spacing w:before="156" w:beforeLines="50" w:after="50"/>
        <w:rPr>
          <w:rFonts w:ascii="宋体" w:hAnsi="宋体"/>
          <w:bCs/>
          <w:color w:val="auto"/>
          <w:sz w:val="24"/>
          <w:szCs w:val="20"/>
          <w:highlight w:val="none"/>
        </w:rPr>
      </w:pPr>
    </w:p>
    <w:p w14:paraId="4F2CAE70">
      <w:pPr>
        <w:snapToGrid w:val="0"/>
        <w:spacing w:before="156" w:beforeLines="50" w:after="50"/>
        <w:rPr>
          <w:rFonts w:ascii="宋体" w:hAnsi="宋体"/>
          <w:bCs/>
          <w:color w:val="auto"/>
          <w:sz w:val="24"/>
          <w:szCs w:val="20"/>
          <w:highlight w:val="none"/>
        </w:rPr>
      </w:pPr>
    </w:p>
    <w:p w14:paraId="002CE006">
      <w:pPr>
        <w:snapToGrid w:val="0"/>
        <w:spacing w:before="156" w:beforeLines="50" w:after="50"/>
        <w:rPr>
          <w:rFonts w:ascii="宋体" w:hAnsi="宋体"/>
          <w:bCs/>
          <w:color w:val="auto"/>
          <w:sz w:val="24"/>
          <w:szCs w:val="20"/>
          <w:highlight w:val="none"/>
        </w:rPr>
      </w:pPr>
    </w:p>
    <w:p w14:paraId="549AF7C8">
      <w:pPr>
        <w:snapToGrid w:val="0"/>
        <w:spacing w:before="156" w:beforeLines="50" w:after="50"/>
        <w:rPr>
          <w:rFonts w:ascii="宋体" w:hAnsi="宋体"/>
          <w:bCs/>
          <w:color w:val="auto"/>
          <w:sz w:val="24"/>
          <w:szCs w:val="20"/>
          <w:highlight w:val="none"/>
        </w:rPr>
      </w:pPr>
    </w:p>
    <w:p w14:paraId="582096F0">
      <w:pPr>
        <w:snapToGrid w:val="0"/>
        <w:spacing w:before="156" w:beforeLines="50" w:after="50"/>
        <w:rPr>
          <w:rFonts w:ascii="宋体" w:hAnsi="宋体"/>
          <w:bCs/>
          <w:color w:val="auto"/>
          <w:sz w:val="24"/>
          <w:szCs w:val="20"/>
          <w:highlight w:val="none"/>
        </w:rPr>
      </w:pPr>
    </w:p>
    <w:p w14:paraId="754B50E6">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项目名称：</w:t>
      </w:r>
    </w:p>
    <w:p w14:paraId="656B6DFB">
      <w:pPr>
        <w:snapToGrid w:val="0"/>
        <w:spacing w:before="156" w:beforeLines="50" w:after="50"/>
        <w:ind w:firstLine="720" w:firstLineChars="225"/>
        <w:rPr>
          <w:rFonts w:ascii="宋体" w:hAnsi="宋体" w:cs="仿宋_GB2312"/>
          <w:bCs/>
          <w:color w:val="auto"/>
          <w:sz w:val="32"/>
          <w:szCs w:val="32"/>
          <w:highlight w:val="none"/>
        </w:rPr>
      </w:pPr>
    </w:p>
    <w:p w14:paraId="65671BB6">
      <w:pPr>
        <w:snapToGrid w:val="0"/>
        <w:spacing w:before="156"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项目编号：</w:t>
      </w:r>
    </w:p>
    <w:p w14:paraId="3F9EF3AD">
      <w:pPr>
        <w:snapToGrid w:val="0"/>
        <w:spacing w:before="156"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 xml:space="preserve"> </w:t>
      </w:r>
    </w:p>
    <w:p w14:paraId="4FF71687">
      <w:pPr>
        <w:snapToGrid w:val="0"/>
        <w:spacing w:before="156"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所竞分标（如有则填写，无分标时填写“无”或者留空）：</w:t>
      </w:r>
    </w:p>
    <w:p w14:paraId="55281B59">
      <w:pPr>
        <w:snapToGrid w:val="0"/>
        <w:spacing w:before="156" w:beforeLines="50" w:after="50"/>
        <w:ind w:firstLine="720" w:firstLineChars="225"/>
        <w:rPr>
          <w:rFonts w:ascii="宋体" w:hAnsi="宋体" w:cs="仿宋_GB2312"/>
          <w:bCs/>
          <w:color w:val="auto"/>
          <w:sz w:val="32"/>
          <w:szCs w:val="32"/>
          <w:highlight w:val="none"/>
        </w:rPr>
      </w:pPr>
    </w:p>
    <w:p w14:paraId="7EAE0B28">
      <w:pPr>
        <w:pStyle w:val="6"/>
        <w:snapToGrid w:val="0"/>
        <w:spacing w:before="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供应商名称：</w:t>
      </w:r>
    </w:p>
    <w:p w14:paraId="75EEF7F6">
      <w:pPr>
        <w:pStyle w:val="6"/>
        <w:snapToGrid w:val="0"/>
        <w:spacing w:before="50" w:after="50"/>
        <w:ind w:firstLine="720" w:firstLineChars="225"/>
        <w:rPr>
          <w:rFonts w:ascii="宋体" w:hAnsi="宋体" w:cs="仿宋_GB2312"/>
          <w:bCs/>
          <w:color w:val="auto"/>
          <w:sz w:val="32"/>
          <w:szCs w:val="32"/>
          <w:highlight w:val="none"/>
        </w:rPr>
      </w:pPr>
    </w:p>
    <w:p w14:paraId="6BAB9113">
      <w:pPr>
        <w:pStyle w:val="6"/>
        <w:snapToGrid w:val="0"/>
        <w:spacing w:before="50" w:after="50"/>
        <w:ind w:firstLine="720" w:firstLineChars="225"/>
        <w:rPr>
          <w:rFonts w:ascii="宋体" w:hAnsi="宋体" w:cs="仿宋_GB2312"/>
          <w:bCs/>
          <w:color w:val="auto"/>
          <w:sz w:val="32"/>
          <w:szCs w:val="32"/>
          <w:highlight w:val="none"/>
        </w:rPr>
      </w:pPr>
    </w:p>
    <w:p w14:paraId="2FE977B8">
      <w:pPr>
        <w:pStyle w:val="6"/>
        <w:snapToGrid w:val="0"/>
        <w:spacing w:before="50" w:after="50"/>
        <w:ind w:firstLine="720" w:firstLineChars="225"/>
        <w:rPr>
          <w:rFonts w:ascii="宋体" w:hAnsi="宋体" w:cs="仿宋_GB2312"/>
          <w:bCs/>
          <w:color w:val="auto"/>
          <w:sz w:val="32"/>
          <w:szCs w:val="32"/>
          <w:highlight w:val="none"/>
        </w:rPr>
      </w:pPr>
    </w:p>
    <w:p w14:paraId="2AA2A463">
      <w:pPr>
        <w:pStyle w:val="6"/>
        <w:snapToGrid w:val="0"/>
        <w:spacing w:before="50" w:after="50"/>
        <w:ind w:firstLine="1280" w:firstLineChars="400"/>
        <w:rPr>
          <w:rFonts w:ascii="宋体" w:hAnsi="宋体" w:cs="仿宋_GB2312"/>
          <w:bCs/>
          <w:color w:val="auto"/>
          <w:sz w:val="32"/>
          <w:szCs w:val="32"/>
          <w:highlight w:val="none"/>
        </w:rPr>
      </w:pPr>
    </w:p>
    <w:p w14:paraId="3C893BF0">
      <w:pPr>
        <w:snapToGrid w:val="0"/>
        <w:spacing w:before="156"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年    月    日</w:t>
      </w:r>
    </w:p>
    <w:p w14:paraId="77CD3515">
      <w:pPr>
        <w:snapToGrid w:val="0"/>
        <w:spacing w:before="156" w:beforeLines="50" w:after="50" w:line="360" w:lineRule="auto"/>
        <w:ind w:left="142"/>
        <w:jc w:val="left"/>
        <w:rPr>
          <w:rFonts w:ascii="宋体" w:hAnsi="宋体"/>
          <w:b/>
          <w:bCs/>
          <w:color w:val="auto"/>
          <w:sz w:val="32"/>
          <w:szCs w:val="32"/>
          <w:highlight w:val="none"/>
        </w:rPr>
      </w:pPr>
      <w:r>
        <w:rPr>
          <w:rFonts w:ascii="宋体" w:hAnsi="宋体"/>
          <w:color w:val="auto"/>
          <w:sz w:val="24"/>
          <w:highlight w:val="none"/>
        </w:rPr>
        <w:br w:type="page"/>
      </w:r>
      <w:r>
        <w:rPr>
          <w:rFonts w:hint="eastAsia" w:ascii="宋体" w:hAnsi="宋体"/>
          <w:b/>
          <w:bCs/>
          <w:color w:val="auto"/>
          <w:sz w:val="32"/>
          <w:szCs w:val="32"/>
          <w:highlight w:val="none"/>
        </w:rPr>
        <w:t>2.资格证明文件目录</w:t>
      </w:r>
    </w:p>
    <w:p w14:paraId="167A7119">
      <w:pPr>
        <w:snapToGrid w:val="0"/>
        <w:spacing w:before="156" w:beforeLines="50" w:after="50" w:line="360" w:lineRule="auto"/>
        <w:ind w:firstLine="645"/>
        <w:rPr>
          <w:rFonts w:ascii="宋体" w:hAnsi="宋体"/>
          <w:color w:val="auto"/>
          <w:sz w:val="32"/>
          <w:szCs w:val="32"/>
          <w:highlight w:val="none"/>
        </w:rPr>
      </w:pPr>
      <w:r>
        <w:rPr>
          <w:rFonts w:hint="eastAsia" w:ascii="宋体" w:hAnsi="宋体"/>
          <w:color w:val="auto"/>
          <w:sz w:val="32"/>
          <w:szCs w:val="32"/>
          <w:highlight w:val="none"/>
        </w:rPr>
        <w:t>根据磋商文件规定及供应商提供的材料自行编写目录（部分格式后附）。</w:t>
      </w:r>
    </w:p>
    <w:p w14:paraId="72519955">
      <w:pPr>
        <w:snapToGrid w:val="0"/>
        <w:spacing w:before="156" w:beforeLines="50" w:after="50"/>
        <w:rPr>
          <w:rFonts w:ascii="宋体" w:hAnsi="宋体"/>
          <w:color w:val="auto"/>
          <w:sz w:val="24"/>
          <w:szCs w:val="20"/>
          <w:highlight w:val="none"/>
        </w:rPr>
      </w:pPr>
      <w:r>
        <w:rPr>
          <w:rFonts w:ascii="宋体" w:hAnsi="宋体"/>
          <w:color w:val="auto"/>
          <w:sz w:val="24"/>
          <w:szCs w:val="20"/>
          <w:highlight w:val="none"/>
        </w:rPr>
        <w:t xml:space="preserve"> </w:t>
      </w:r>
    </w:p>
    <w:p w14:paraId="3F743622">
      <w:pPr>
        <w:spacing w:line="300" w:lineRule="auto"/>
        <w:rPr>
          <w:rFonts w:ascii="宋体" w:hAnsi="宋体"/>
          <w:color w:val="auto"/>
          <w:szCs w:val="21"/>
          <w:highlight w:val="none"/>
        </w:rPr>
      </w:pPr>
    </w:p>
    <w:p w14:paraId="684D91B0">
      <w:pPr>
        <w:spacing w:line="300" w:lineRule="auto"/>
        <w:rPr>
          <w:rFonts w:ascii="宋体" w:hAnsi="宋体"/>
          <w:color w:val="auto"/>
          <w:szCs w:val="21"/>
          <w:highlight w:val="none"/>
        </w:rPr>
      </w:pPr>
    </w:p>
    <w:p w14:paraId="02DAF6E4">
      <w:pPr>
        <w:spacing w:line="300" w:lineRule="auto"/>
        <w:rPr>
          <w:rFonts w:ascii="宋体" w:hAnsi="宋体"/>
          <w:color w:val="auto"/>
          <w:szCs w:val="21"/>
          <w:highlight w:val="none"/>
        </w:rPr>
      </w:pPr>
    </w:p>
    <w:p w14:paraId="253E3629">
      <w:pPr>
        <w:spacing w:line="300" w:lineRule="auto"/>
        <w:rPr>
          <w:rFonts w:ascii="宋体" w:hAnsi="宋体"/>
          <w:color w:val="auto"/>
          <w:szCs w:val="21"/>
          <w:highlight w:val="none"/>
        </w:rPr>
      </w:pPr>
    </w:p>
    <w:p w14:paraId="5EB0989D">
      <w:pPr>
        <w:spacing w:line="300" w:lineRule="auto"/>
        <w:rPr>
          <w:rFonts w:ascii="宋体" w:hAnsi="宋体"/>
          <w:color w:val="auto"/>
          <w:szCs w:val="21"/>
          <w:highlight w:val="none"/>
        </w:rPr>
      </w:pPr>
    </w:p>
    <w:p w14:paraId="37DBA816">
      <w:pPr>
        <w:spacing w:line="300" w:lineRule="auto"/>
        <w:rPr>
          <w:rFonts w:ascii="宋体" w:hAnsi="宋体"/>
          <w:color w:val="auto"/>
          <w:szCs w:val="21"/>
          <w:highlight w:val="none"/>
        </w:rPr>
      </w:pPr>
    </w:p>
    <w:p w14:paraId="00CC20CC">
      <w:pPr>
        <w:spacing w:line="300" w:lineRule="auto"/>
        <w:rPr>
          <w:rFonts w:ascii="宋体" w:hAnsi="宋体"/>
          <w:color w:val="auto"/>
          <w:szCs w:val="21"/>
          <w:highlight w:val="none"/>
        </w:rPr>
      </w:pPr>
    </w:p>
    <w:p w14:paraId="3212EC8E">
      <w:pPr>
        <w:spacing w:line="300" w:lineRule="auto"/>
        <w:rPr>
          <w:rFonts w:ascii="宋体" w:hAnsi="宋体"/>
          <w:color w:val="auto"/>
          <w:szCs w:val="21"/>
          <w:highlight w:val="none"/>
        </w:rPr>
      </w:pPr>
    </w:p>
    <w:p w14:paraId="1B09D124">
      <w:pPr>
        <w:spacing w:line="300" w:lineRule="auto"/>
        <w:rPr>
          <w:rFonts w:ascii="宋体" w:hAnsi="宋体"/>
          <w:color w:val="auto"/>
          <w:szCs w:val="21"/>
          <w:highlight w:val="none"/>
        </w:rPr>
      </w:pPr>
    </w:p>
    <w:p w14:paraId="62A910FB">
      <w:pPr>
        <w:spacing w:line="300" w:lineRule="auto"/>
        <w:rPr>
          <w:rFonts w:ascii="宋体" w:hAnsi="宋体"/>
          <w:color w:val="auto"/>
          <w:szCs w:val="21"/>
          <w:highlight w:val="none"/>
        </w:rPr>
      </w:pPr>
    </w:p>
    <w:p w14:paraId="0AFD468A">
      <w:pPr>
        <w:spacing w:line="300" w:lineRule="auto"/>
        <w:rPr>
          <w:rFonts w:ascii="宋体" w:hAnsi="宋体"/>
          <w:color w:val="auto"/>
          <w:szCs w:val="21"/>
          <w:highlight w:val="none"/>
        </w:rPr>
      </w:pPr>
    </w:p>
    <w:p w14:paraId="3187D3BB">
      <w:pPr>
        <w:spacing w:line="300" w:lineRule="auto"/>
        <w:rPr>
          <w:rFonts w:ascii="宋体" w:hAnsi="宋体"/>
          <w:color w:val="auto"/>
          <w:szCs w:val="21"/>
          <w:highlight w:val="none"/>
        </w:rPr>
      </w:pPr>
    </w:p>
    <w:p w14:paraId="42D27E3B">
      <w:pPr>
        <w:spacing w:line="300" w:lineRule="auto"/>
        <w:rPr>
          <w:rFonts w:ascii="宋体" w:hAnsi="宋体"/>
          <w:color w:val="auto"/>
          <w:szCs w:val="21"/>
          <w:highlight w:val="none"/>
        </w:rPr>
      </w:pPr>
    </w:p>
    <w:p w14:paraId="20417A59">
      <w:pPr>
        <w:spacing w:line="300" w:lineRule="auto"/>
        <w:rPr>
          <w:rFonts w:ascii="宋体" w:hAnsi="宋体"/>
          <w:color w:val="auto"/>
          <w:szCs w:val="21"/>
          <w:highlight w:val="none"/>
        </w:rPr>
      </w:pPr>
    </w:p>
    <w:p w14:paraId="0AFF64CD">
      <w:pPr>
        <w:spacing w:line="300" w:lineRule="auto"/>
        <w:rPr>
          <w:rFonts w:ascii="宋体" w:hAnsi="宋体"/>
          <w:color w:val="auto"/>
          <w:szCs w:val="21"/>
          <w:highlight w:val="none"/>
        </w:rPr>
      </w:pPr>
    </w:p>
    <w:p w14:paraId="02CAD65B">
      <w:pPr>
        <w:spacing w:line="320" w:lineRule="exact"/>
        <w:jc w:val="left"/>
        <w:rPr>
          <w:rFonts w:ascii="宋体" w:hAnsi="宋体"/>
          <w:color w:val="auto"/>
          <w:szCs w:val="21"/>
          <w:highlight w:val="none"/>
        </w:rPr>
      </w:pPr>
      <w:r>
        <w:rPr>
          <w:rFonts w:ascii="宋体" w:hAnsi="宋体"/>
          <w:color w:val="auto"/>
          <w:szCs w:val="21"/>
          <w:highlight w:val="none"/>
        </w:rPr>
        <w:br w:type="page"/>
      </w:r>
      <w:r>
        <w:rPr>
          <w:rFonts w:hint="eastAsia" w:ascii="宋体" w:hAnsi="宋体"/>
          <w:color w:val="auto"/>
          <w:szCs w:val="21"/>
          <w:highlight w:val="none"/>
        </w:rPr>
        <w:t xml:space="preserve"> </w:t>
      </w:r>
    </w:p>
    <w:p w14:paraId="3A8E1848">
      <w:pPr>
        <w:wordWrap w:val="0"/>
        <w:spacing w:before="156" w:beforeLines="50" w:after="50" w:line="320" w:lineRule="exact"/>
        <w:ind w:right="482" w:firstLine="210" w:firstLineChars="100"/>
        <w:contextualSpacing/>
        <w:jc w:val="center"/>
        <w:rPr>
          <w:rFonts w:ascii="宋体" w:hAnsi="宋体"/>
          <w:color w:val="auto"/>
          <w:szCs w:val="21"/>
          <w:highlight w:val="none"/>
        </w:rPr>
      </w:pPr>
    </w:p>
    <w:p w14:paraId="784656F9">
      <w:pPr>
        <w:spacing w:line="320" w:lineRule="exact"/>
        <w:jc w:val="center"/>
        <w:rPr>
          <w:rFonts w:ascii="宋体" w:hAnsi="宋体"/>
          <w:b/>
          <w:color w:val="auto"/>
          <w:sz w:val="32"/>
          <w:szCs w:val="32"/>
          <w:highlight w:val="none"/>
        </w:rPr>
      </w:pPr>
      <w:r>
        <w:rPr>
          <w:rFonts w:hint="eastAsia" w:ascii="宋体" w:hAnsi="宋体"/>
          <w:b/>
          <w:color w:val="auto"/>
          <w:sz w:val="32"/>
          <w:szCs w:val="32"/>
          <w:highlight w:val="none"/>
        </w:rPr>
        <w:t>供应商直接控股、管理关系信息表</w:t>
      </w:r>
    </w:p>
    <w:p w14:paraId="3D8396FA">
      <w:pPr>
        <w:snapToGrid w:val="0"/>
        <w:spacing w:before="156" w:beforeLines="50" w:after="50" w:line="360" w:lineRule="auto"/>
        <w:jc w:val="center"/>
        <w:rPr>
          <w:rFonts w:ascii="宋体" w:hAnsi="宋体"/>
          <w:b/>
          <w:color w:val="auto"/>
          <w:sz w:val="24"/>
          <w:highlight w:val="none"/>
        </w:rPr>
      </w:pPr>
    </w:p>
    <w:p w14:paraId="7C43CCDC">
      <w:pPr>
        <w:spacing w:line="360" w:lineRule="auto"/>
        <w:contextualSpacing/>
        <w:jc w:val="center"/>
        <w:rPr>
          <w:rFonts w:ascii="宋体" w:hAnsi="宋体"/>
          <w:b/>
          <w:color w:val="auto"/>
          <w:sz w:val="32"/>
          <w:szCs w:val="32"/>
          <w:highlight w:val="none"/>
        </w:rPr>
      </w:pPr>
      <w:r>
        <w:rPr>
          <w:rFonts w:hint="eastAsia" w:ascii="宋体" w:hAnsi="宋体"/>
          <w:b/>
          <w:color w:val="auto"/>
          <w:sz w:val="32"/>
          <w:szCs w:val="32"/>
          <w:highlight w:val="none"/>
        </w:rPr>
        <w:t>供应商直接控股股东信息表</w:t>
      </w:r>
    </w:p>
    <w:p w14:paraId="5016FE2B">
      <w:pPr>
        <w:spacing w:line="360" w:lineRule="auto"/>
        <w:contextualSpacing/>
        <w:jc w:val="center"/>
        <w:rPr>
          <w:rFonts w:ascii="宋体" w:hAnsi="宋体"/>
          <w:b/>
          <w:color w:val="auto"/>
          <w:sz w:val="24"/>
          <w:highlight w:val="none"/>
        </w:rPr>
      </w:pPr>
    </w:p>
    <w:tbl>
      <w:tblPr>
        <w:tblStyle w:val="21"/>
        <w:tblW w:w="0" w:type="auto"/>
        <w:jc w:val="center"/>
        <w:shd w:val="clear" w:color="auto" w:fill="FBFBFB"/>
        <w:tblLayout w:type="fixed"/>
        <w:tblCellMar>
          <w:top w:w="0" w:type="dxa"/>
          <w:left w:w="0" w:type="dxa"/>
          <w:bottom w:w="0" w:type="dxa"/>
          <w:right w:w="0" w:type="dxa"/>
        </w:tblCellMar>
      </w:tblPr>
      <w:tblGrid>
        <w:gridCol w:w="880"/>
        <w:gridCol w:w="2655"/>
        <w:gridCol w:w="1455"/>
        <w:gridCol w:w="4287"/>
        <w:gridCol w:w="870"/>
      </w:tblGrid>
      <w:tr w14:paraId="651A97ED">
        <w:tblPrEx>
          <w:shd w:val="clear" w:color="auto" w:fill="FBFBFB"/>
          <w:tblCellMar>
            <w:top w:w="0" w:type="dxa"/>
            <w:left w:w="0" w:type="dxa"/>
            <w:bottom w:w="0" w:type="dxa"/>
            <w:right w:w="0" w:type="dxa"/>
          </w:tblCellMar>
        </w:tblPrEx>
        <w:trPr>
          <w:tblHeader/>
          <w:jc w:val="center"/>
        </w:trPr>
        <w:tc>
          <w:tcPr>
            <w:tcW w:w="88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1D21A757">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序号</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2F1D87C7">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直接控股股东名称</w:t>
            </w:r>
          </w:p>
        </w:tc>
        <w:tc>
          <w:tcPr>
            <w:tcW w:w="14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1AEEA899">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出资比例</w:t>
            </w:r>
          </w:p>
        </w:tc>
        <w:tc>
          <w:tcPr>
            <w:tcW w:w="4287"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0C6BE1D">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身份证号码或者统一社会信用代码</w:t>
            </w:r>
          </w:p>
        </w:tc>
        <w:tc>
          <w:tcPr>
            <w:tcW w:w="87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737831C7">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备注</w:t>
            </w:r>
          </w:p>
        </w:tc>
      </w:tr>
      <w:tr w14:paraId="3F9B81DC">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48434A05">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87B835F">
            <w:pPr>
              <w:widowControl/>
              <w:spacing w:line="360" w:lineRule="auto"/>
              <w:contextualSpacing/>
              <w:jc w:val="center"/>
              <w:rPr>
                <w:rFonts w:ascii="宋体" w:hAnsi="宋体" w:cs="宋体"/>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156BC063">
            <w:pPr>
              <w:widowControl/>
              <w:spacing w:line="360" w:lineRule="auto"/>
              <w:contextualSpacing/>
              <w:jc w:val="center"/>
              <w:rPr>
                <w:rFonts w:ascii="宋体" w:hAnsi="宋体" w:cs="宋体"/>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1C04684">
            <w:pPr>
              <w:widowControl/>
              <w:spacing w:line="360" w:lineRule="auto"/>
              <w:contextualSpacing/>
              <w:jc w:val="center"/>
              <w:rPr>
                <w:rFonts w:ascii="宋体" w:hAnsi="宋体" w:cs="宋体"/>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285E2AC5">
            <w:pPr>
              <w:widowControl/>
              <w:spacing w:line="360" w:lineRule="auto"/>
              <w:contextualSpacing/>
              <w:jc w:val="center"/>
              <w:rPr>
                <w:rFonts w:ascii="宋体" w:hAnsi="宋体" w:cs="宋体"/>
                <w:color w:val="auto"/>
                <w:kern w:val="0"/>
                <w:sz w:val="24"/>
                <w:highlight w:val="none"/>
              </w:rPr>
            </w:pPr>
          </w:p>
        </w:tc>
      </w:tr>
      <w:tr w14:paraId="27124A61">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4BD1BAE6">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47FBEB90">
            <w:pPr>
              <w:widowControl/>
              <w:spacing w:line="360" w:lineRule="auto"/>
              <w:contextualSpacing/>
              <w:jc w:val="center"/>
              <w:rPr>
                <w:rFonts w:ascii="宋体" w:hAnsi="宋体" w:cs="宋体"/>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2688BD45">
            <w:pPr>
              <w:widowControl/>
              <w:spacing w:line="360" w:lineRule="auto"/>
              <w:contextualSpacing/>
              <w:jc w:val="center"/>
              <w:rPr>
                <w:rFonts w:ascii="宋体" w:hAnsi="宋体" w:cs="宋体"/>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6D1BE41">
            <w:pPr>
              <w:widowControl/>
              <w:spacing w:line="360" w:lineRule="auto"/>
              <w:contextualSpacing/>
              <w:jc w:val="center"/>
              <w:rPr>
                <w:rFonts w:ascii="宋体" w:hAnsi="宋体" w:cs="宋体"/>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177CBAAD">
            <w:pPr>
              <w:widowControl/>
              <w:spacing w:line="360" w:lineRule="auto"/>
              <w:contextualSpacing/>
              <w:jc w:val="center"/>
              <w:rPr>
                <w:rFonts w:ascii="宋体" w:hAnsi="宋体" w:cs="宋体"/>
                <w:color w:val="auto"/>
                <w:kern w:val="0"/>
                <w:sz w:val="24"/>
                <w:highlight w:val="none"/>
              </w:rPr>
            </w:pPr>
          </w:p>
        </w:tc>
      </w:tr>
      <w:tr w14:paraId="63A153EE">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03BC2251">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3</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37D1DF1">
            <w:pPr>
              <w:widowControl/>
              <w:spacing w:line="360" w:lineRule="auto"/>
              <w:contextualSpacing/>
              <w:jc w:val="center"/>
              <w:rPr>
                <w:rFonts w:ascii="宋体" w:hAnsi="宋体" w:cs="宋体"/>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1F2A04F">
            <w:pPr>
              <w:widowControl/>
              <w:spacing w:line="360" w:lineRule="auto"/>
              <w:contextualSpacing/>
              <w:jc w:val="center"/>
              <w:rPr>
                <w:rFonts w:ascii="宋体" w:hAnsi="宋体" w:cs="宋体"/>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3FCD6E8">
            <w:pPr>
              <w:widowControl/>
              <w:spacing w:line="360" w:lineRule="auto"/>
              <w:contextualSpacing/>
              <w:jc w:val="center"/>
              <w:rPr>
                <w:rFonts w:ascii="宋体" w:hAnsi="宋体" w:cs="宋体"/>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75CD64CF">
            <w:pPr>
              <w:widowControl/>
              <w:spacing w:line="360" w:lineRule="auto"/>
              <w:contextualSpacing/>
              <w:jc w:val="center"/>
              <w:rPr>
                <w:rFonts w:ascii="宋体" w:hAnsi="宋体" w:cs="宋体"/>
                <w:color w:val="auto"/>
                <w:kern w:val="0"/>
                <w:sz w:val="24"/>
                <w:highlight w:val="none"/>
              </w:rPr>
            </w:pPr>
          </w:p>
        </w:tc>
      </w:tr>
      <w:tr w14:paraId="6BE397BB">
        <w:tblPrEx>
          <w:shd w:val="clear" w:color="auto" w:fill="FBFBFB"/>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3F1DBFAE">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734F5777">
            <w:pPr>
              <w:widowControl/>
              <w:spacing w:line="360" w:lineRule="auto"/>
              <w:contextualSpacing/>
              <w:jc w:val="center"/>
              <w:rPr>
                <w:rFonts w:ascii="宋体" w:hAnsi="宋体" w:cs="宋体"/>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45DB6797">
            <w:pPr>
              <w:widowControl/>
              <w:spacing w:line="360" w:lineRule="auto"/>
              <w:contextualSpacing/>
              <w:jc w:val="center"/>
              <w:rPr>
                <w:rFonts w:ascii="宋体" w:hAnsi="宋体" w:cs="宋体"/>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0D21F356">
            <w:pPr>
              <w:widowControl/>
              <w:spacing w:line="360" w:lineRule="auto"/>
              <w:contextualSpacing/>
              <w:jc w:val="center"/>
              <w:rPr>
                <w:rFonts w:ascii="宋体" w:hAnsi="宋体" w:cs="宋体"/>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A80D7CC">
            <w:pPr>
              <w:widowControl/>
              <w:spacing w:line="360" w:lineRule="auto"/>
              <w:contextualSpacing/>
              <w:jc w:val="center"/>
              <w:rPr>
                <w:rFonts w:ascii="宋体" w:hAnsi="宋体" w:cs="宋体"/>
                <w:color w:val="auto"/>
                <w:kern w:val="0"/>
                <w:sz w:val="24"/>
                <w:highlight w:val="none"/>
              </w:rPr>
            </w:pPr>
          </w:p>
        </w:tc>
      </w:tr>
    </w:tbl>
    <w:p w14:paraId="1540CCFC">
      <w:pPr>
        <w:spacing w:line="360" w:lineRule="auto"/>
        <w:contextualSpacing/>
        <w:jc w:val="left"/>
        <w:rPr>
          <w:rFonts w:ascii="宋体" w:hAnsi="宋体" w:cs="宋体"/>
          <w:color w:val="auto"/>
          <w:sz w:val="24"/>
          <w:highlight w:val="none"/>
        </w:rPr>
      </w:pPr>
      <w:r>
        <w:rPr>
          <w:rFonts w:hint="eastAsia" w:ascii="宋体" w:hAnsi="宋体" w:cs="宋体"/>
          <w:color w:val="auto"/>
          <w:sz w:val="24"/>
          <w:highlight w:val="none"/>
        </w:rPr>
        <w:t>注：</w:t>
      </w:r>
    </w:p>
    <w:p w14:paraId="72049053">
      <w:pPr>
        <w:spacing w:line="360" w:lineRule="auto"/>
        <w:ind w:firstLine="480" w:firstLineChars="200"/>
        <w:contextualSpacing/>
        <w:jc w:val="left"/>
        <w:rPr>
          <w:rFonts w:ascii="宋体" w:hAnsi="宋体" w:cs="宋体"/>
          <w:color w:val="auto"/>
          <w:sz w:val="24"/>
          <w:highlight w:val="none"/>
        </w:rPr>
      </w:pPr>
      <w:r>
        <w:rPr>
          <w:rFonts w:hint="eastAsia" w:ascii="宋体" w:hAnsi="宋体" w:cs="宋体"/>
          <w:color w:val="auto"/>
          <w:sz w:val="24"/>
          <w:highlight w:val="none"/>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3421A382">
      <w:pPr>
        <w:spacing w:line="360" w:lineRule="auto"/>
        <w:ind w:firstLine="480" w:firstLineChars="200"/>
        <w:contextualSpacing/>
        <w:jc w:val="left"/>
        <w:rPr>
          <w:rFonts w:ascii="宋体" w:hAnsi="宋体" w:cs="宋体"/>
          <w:color w:val="auto"/>
          <w:sz w:val="24"/>
          <w:highlight w:val="none"/>
        </w:rPr>
      </w:pPr>
      <w:r>
        <w:rPr>
          <w:rFonts w:hint="eastAsia" w:ascii="宋体" w:hAnsi="宋体" w:cs="宋体"/>
          <w:color w:val="auto"/>
          <w:sz w:val="24"/>
          <w:highlight w:val="none"/>
        </w:rPr>
        <w:t>2.本表所指的控股关系仅限于直接控股关系，不包括间接的控股关系。公司实际控制人与公司之间的关系不属于本表所指的直接控股关系。</w:t>
      </w:r>
    </w:p>
    <w:p w14:paraId="098A86AD">
      <w:pPr>
        <w:spacing w:line="360" w:lineRule="auto"/>
        <w:ind w:firstLine="480" w:firstLineChars="200"/>
        <w:contextualSpacing/>
        <w:jc w:val="left"/>
        <w:rPr>
          <w:rFonts w:ascii="宋体" w:hAnsi="宋体" w:cs="宋体"/>
          <w:color w:val="auto"/>
          <w:sz w:val="24"/>
          <w:highlight w:val="none"/>
        </w:rPr>
      </w:pPr>
      <w:r>
        <w:rPr>
          <w:rFonts w:hint="eastAsia" w:ascii="宋体" w:hAnsi="宋体" w:cs="宋体"/>
          <w:color w:val="auto"/>
          <w:sz w:val="24"/>
          <w:highlight w:val="none"/>
        </w:rPr>
        <w:t>3.供应商不存在直接控股股东的，则填“无”。</w:t>
      </w:r>
    </w:p>
    <w:p w14:paraId="225D4329">
      <w:pPr>
        <w:snapToGrid w:val="0"/>
        <w:spacing w:line="360" w:lineRule="auto"/>
        <w:jc w:val="left"/>
        <w:rPr>
          <w:rFonts w:ascii="宋体" w:hAnsi="宋体" w:cs="宋体"/>
          <w:color w:val="auto"/>
          <w:sz w:val="24"/>
          <w:highlight w:val="none"/>
        </w:rPr>
      </w:pPr>
    </w:p>
    <w:p w14:paraId="6EE64B17">
      <w:pPr>
        <w:snapToGrid w:val="0"/>
        <w:spacing w:line="360" w:lineRule="auto"/>
        <w:jc w:val="left"/>
        <w:rPr>
          <w:rFonts w:ascii="宋体" w:hAnsi="宋体" w:cs="宋体"/>
          <w:color w:val="auto"/>
          <w:sz w:val="24"/>
          <w:highlight w:val="none"/>
        </w:rPr>
      </w:pPr>
    </w:p>
    <w:p w14:paraId="13DBB156">
      <w:pPr>
        <w:snapToGrid w:val="0"/>
        <w:spacing w:line="360" w:lineRule="auto"/>
        <w:jc w:val="left"/>
        <w:rPr>
          <w:rFonts w:ascii="宋体" w:hAnsi="宋体" w:cs="宋体"/>
          <w:color w:val="auto"/>
          <w:sz w:val="24"/>
          <w:highlight w:val="none"/>
        </w:rPr>
      </w:pPr>
    </w:p>
    <w:p w14:paraId="6E2EED02">
      <w:pPr>
        <w:snapToGrid w:val="0"/>
        <w:spacing w:before="156" w:beforeLines="50" w:line="360" w:lineRule="auto"/>
        <w:ind w:right="480" w:firstLine="1920" w:firstLineChars="800"/>
        <w:rPr>
          <w:rFonts w:ascii="宋体" w:hAnsi="宋体" w:cs="宋体"/>
          <w:color w:val="auto"/>
          <w:sz w:val="24"/>
          <w:highlight w:val="none"/>
          <w:u w:val="single"/>
        </w:rPr>
      </w:pPr>
      <w:r>
        <w:rPr>
          <w:rFonts w:hint="eastAsia" w:ascii="宋体" w:hAnsi="宋体" w:cs="宋体"/>
          <w:color w:val="auto"/>
          <w:sz w:val="24"/>
          <w:highlight w:val="none"/>
        </w:rPr>
        <w:t>法定代表人或者委托代理人签字：</w:t>
      </w:r>
      <w:r>
        <w:rPr>
          <w:rFonts w:hint="eastAsia" w:ascii="宋体" w:hAnsi="宋体" w:cs="宋体"/>
          <w:color w:val="auto"/>
          <w:sz w:val="24"/>
          <w:highlight w:val="none"/>
          <w:u w:val="single"/>
        </w:rPr>
        <w:t xml:space="preserve">                </w:t>
      </w:r>
    </w:p>
    <w:p w14:paraId="19474B7B">
      <w:pPr>
        <w:snapToGrid w:val="0"/>
        <w:spacing w:before="156" w:beforeLines="50" w:after="50" w:line="360" w:lineRule="auto"/>
        <w:ind w:right="480" w:firstLine="3000" w:firstLineChars="1250"/>
        <w:rPr>
          <w:rFonts w:ascii="宋体" w:hAnsi="宋体" w:cs="宋体"/>
          <w:color w:val="auto"/>
          <w:sz w:val="24"/>
          <w:highlight w:val="none"/>
          <w:u w:val="single"/>
        </w:rPr>
      </w:pPr>
      <w:r>
        <w:rPr>
          <w:rFonts w:hint="eastAsia" w:ascii="宋体" w:hAnsi="宋体" w:cs="宋体"/>
          <w:color w:val="auto"/>
          <w:sz w:val="24"/>
          <w:highlight w:val="none"/>
        </w:rPr>
        <w:t>供应商（盖公章 ）：</w:t>
      </w:r>
      <w:r>
        <w:rPr>
          <w:rFonts w:hint="eastAsia" w:ascii="宋体" w:hAnsi="宋体" w:cs="宋体"/>
          <w:color w:val="auto"/>
          <w:sz w:val="24"/>
          <w:highlight w:val="none"/>
          <w:u w:val="single"/>
        </w:rPr>
        <w:t xml:space="preserve">                              </w:t>
      </w:r>
    </w:p>
    <w:p w14:paraId="5F277AEF">
      <w:pPr>
        <w:snapToGrid w:val="0"/>
        <w:spacing w:before="156" w:beforeLines="50" w:after="50" w:line="360" w:lineRule="auto"/>
        <w:ind w:right="480" w:firstLine="5280" w:firstLineChars="2200"/>
        <w:rPr>
          <w:rFonts w:ascii="宋体" w:hAnsi="宋体" w:cs="宋体"/>
          <w:color w:val="auto"/>
          <w:sz w:val="28"/>
          <w:szCs w:val="28"/>
          <w:highlight w:val="none"/>
        </w:rPr>
      </w:pPr>
      <w:r>
        <w:rPr>
          <w:rFonts w:hint="eastAsia" w:ascii="宋体" w:hAnsi="宋体" w:cs="宋体"/>
          <w:color w:val="auto"/>
          <w:sz w:val="24"/>
          <w:highlight w:val="none"/>
        </w:rPr>
        <w:t>年    月    日</w:t>
      </w:r>
    </w:p>
    <w:p w14:paraId="08A40715">
      <w:pPr>
        <w:snapToGrid w:val="0"/>
        <w:jc w:val="center"/>
        <w:rPr>
          <w:rFonts w:ascii="宋体" w:hAnsi="宋体"/>
          <w:b/>
          <w:color w:val="auto"/>
          <w:sz w:val="28"/>
          <w:szCs w:val="28"/>
          <w:highlight w:val="none"/>
        </w:rPr>
      </w:pPr>
      <w:r>
        <w:rPr>
          <w:rFonts w:ascii="宋体" w:hAnsi="宋体"/>
          <w:b/>
          <w:color w:val="auto"/>
          <w:sz w:val="28"/>
          <w:szCs w:val="28"/>
          <w:highlight w:val="none"/>
        </w:rPr>
        <w:br w:type="page"/>
      </w:r>
    </w:p>
    <w:p w14:paraId="17B06575">
      <w:pPr>
        <w:spacing w:line="320" w:lineRule="exact"/>
        <w:jc w:val="center"/>
        <w:rPr>
          <w:rFonts w:ascii="宋体" w:hAnsi="宋体"/>
          <w:b/>
          <w:color w:val="auto"/>
          <w:sz w:val="32"/>
          <w:szCs w:val="32"/>
          <w:highlight w:val="none"/>
        </w:rPr>
      </w:pPr>
      <w:r>
        <w:rPr>
          <w:rFonts w:hint="eastAsia" w:ascii="宋体" w:hAnsi="宋体"/>
          <w:b/>
          <w:color w:val="auto"/>
          <w:sz w:val="32"/>
          <w:szCs w:val="32"/>
          <w:highlight w:val="none"/>
        </w:rPr>
        <w:t>供应商直接管理关系信息表</w:t>
      </w:r>
    </w:p>
    <w:p w14:paraId="6530EF27">
      <w:pPr>
        <w:snapToGrid w:val="0"/>
        <w:spacing w:line="360" w:lineRule="auto"/>
        <w:jc w:val="center"/>
        <w:rPr>
          <w:rFonts w:ascii="宋体" w:hAnsi="宋体"/>
          <w:b/>
          <w:color w:val="auto"/>
          <w:sz w:val="24"/>
          <w:highlight w:val="none"/>
        </w:rPr>
      </w:pPr>
    </w:p>
    <w:tbl>
      <w:tblPr>
        <w:tblStyle w:val="21"/>
        <w:tblW w:w="0" w:type="auto"/>
        <w:jc w:val="center"/>
        <w:shd w:val="clear" w:color="auto" w:fill="FBFBFB"/>
        <w:tblLayout w:type="fixed"/>
        <w:tblCellMar>
          <w:top w:w="0" w:type="dxa"/>
          <w:left w:w="0" w:type="dxa"/>
          <w:bottom w:w="0" w:type="dxa"/>
          <w:right w:w="0" w:type="dxa"/>
        </w:tblCellMar>
      </w:tblPr>
      <w:tblGrid>
        <w:gridCol w:w="808"/>
        <w:gridCol w:w="3600"/>
        <w:gridCol w:w="3555"/>
        <w:gridCol w:w="1689"/>
      </w:tblGrid>
      <w:tr w14:paraId="7ADF41A9">
        <w:tblPrEx>
          <w:tblCellMar>
            <w:top w:w="0" w:type="dxa"/>
            <w:left w:w="0" w:type="dxa"/>
            <w:bottom w:w="0" w:type="dxa"/>
            <w:right w:w="0" w:type="dxa"/>
          </w:tblCellMar>
        </w:tblPrEx>
        <w:trPr>
          <w:tblHeader/>
          <w:jc w:val="center"/>
        </w:trPr>
        <w:tc>
          <w:tcPr>
            <w:tcW w:w="808"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2153871B">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序号</w:t>
            </w:r>
          </w:p>
        </w:tc>
        <w:tc>
          <w:tcPr>
            <w:tcW w:w="360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1C72EBC8">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直接管理关系单位名称</w:t>
            </w:r>
          </w:p>
        </w:tc>
        <w:tc>
          <w:tcPr>
            <w:tcW w:w="35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7FCC0A61">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统一社会信用代码</w:t>
            </w:r>
          </w:p>
        </w:tc>
        <w:tc>
          <w:tcPr>
            <w:tcW w:w="1689"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1B72A51">
            <w:pPr>
              <w:widowControl/>
              <w:spacing w:line="360" w:lineRule="auto"/>
              <w:contextualSpacing/>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备注</w:t>
            </w:r>
          </w:p>
        </w:tc>
      </w:tr>
      <w:tr w14:paraId="681E341C">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1E6E13C">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60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715BA9EA">
            <w:pPr>
              <w:widowControl/>
              <w:spacing w:line="360" w:lineRule="auto"/>
              <w:contextualSpacing/>
              <w:jc w:val="center"/>
              <w:rPr>
                <w:rFonts w:ascii="宋体" w:hAnsi="宋体" w:cs="宋体"/>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4925E28">
            <w:pPr>
              <w:widowControl/>
              <w:spacing w:line="360" w:lineRule="auto"/>
              <w:contextualSpacing/>
              <w:jc w:val="center"/>
              <w:rPr>
                <w:rFonts w:ascii="宋体" w:hAnsi="宋体" w:cs="宋体"/>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E3310F3">
            <w:pPr>
              <w:widowControl/>
              <w:spacing w:line="360" w:lineRule="auto"/>
              <w:contextualSpacing/>
              <w:jc w:val="center"/>
              <w:rPr>
                <w:rFonts w:ascii="宋体" w:hAnsi="宋体" w:cs="宋体"/>
                <w:color w:val="auto"/>
                <w:kern w:val="0"/>
                <w:sz w:val="24"/>
                <w:highlight w:val="none"/>
              </w:rPr>
            </w:pPr>
          </w:p>
        </w:tc>
      </w:tr>
      <w:tr w14:paraId="64F035D4">
        <w:tblPrEx>
          <w:shd w:val="clear" w:color="auto" w:fill="FBFBFB"/>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9C1FD59">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60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2211DBE">
            <w:pPr>
              <w:widowControl/>
              <w:spacing w:line="360" w:lineRule="auto"/>
              <w:contextualSpacing/>
              <w:jc w:val="center"/>
              <w:rPr>
                <w:rFonts w:ascii="宋体" w:hAnsi="宋体" w:cs="宋体"/>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B7ED6C4">
            <w:pPr>
              <w:widowControl/>
              <w:spacing w:line="360" w:lineRule="auto"/>
              <w:contextualSpacing/>
              <w:jc w:val="center"/>
              <w:rPr>
                <w:rFonts w:ascii="宋体" w:hAnsi="宋体" w:cs="宋体"/>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2C0207C1">
            <w:pPr>
              <w:widowControl/>
              <w:spacing w:line="360" w:lineRule="auto"/>
              <w:contextualSpacing/>
              <w:jc w:val="center"/>
              <w:rPr>
                <w:rFonts w:ascii="宋体" w:hAnsi="宋体" w:cs="宋体"/>
                <w:color w:val="auto"/>
                <w:kern w:val="0"/>
                <w:sz w:val="24"/>
                <w:highlight w:val="none"/>
              </w:rPr>
            </w:pPr>
          </w:p>
        </w:tc>
      </w:tr>
      <w:tr w14:paraId="52CDE4A7">
        <w:tblPrEx>
          <w:shd w:val="clear" w:color="auto" w:fill="FBFBFB"/>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6E4DE120">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3</w:t>
            </w:r>
          </w:p>
        </w:tc>
        <w:tc>
          <w:tcPr>
            <w:tcW w:w="360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3CC28408">
            <w:pPr>
              <w:widowControl/>
              <w:spacing w:line="360" w:lineRule="auto"/>
              <w:contextualSpacing/>
              <w:jc w:val="center"/>
              <w:rPr>
                <w:rFonts w:ascii="宋体" w:hAnsi="宋体" w:cs="宋体"/>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0D50070B">
            <w:pPr>
              <w:widowControl/>
              <w:spacing w:line="360" w:lineRule="auto"/>
              <w:contextualSpacing/>
              <w:jc w:val="center"/>
              <w:rPr>
                <w:rFonts w:ascii="宋体" w:hAnsi="宋体" w:cs="宋体"/>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522AE632">
            <w:pPr>
              <w:widowControl/>
              <w:spacing w:line="360" w:lineRule="auto"/>
              <w:contextualSpacing/>
              <w:jc w:val="center"/>
              <w:rPr>
                <w:rFonts w:ascii="宋体" w:hAnsi="宋体" w:cs="宋体"/>
                <w:color w:val="auto"/>
                <w:kern w:val="0"/>
                <w:sz w:val="24"/>
                <w:highlight w:val="none"/>
              </w:rPr>
            </w:pPr>
          </w:p>
        </w:tc>
      </w:tr>
      <w:tr w14:paraId="395FEB9D">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3FC9C85D">
            <w:pPr>
              <w:widowControl/>
              <w:spacing w:line="360" w:lineRule="auto"/>
              <w:contextualSpacing/>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600"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3B186EA1">
            <w:pPr>
              <w:widowControl/>
              <w:spacing w:line="360" w:lineRule="auto"/>
              <w:contextualSpacing/>
              <w:jc w:val="center"/>
              <w:rPr>
                <w:rFonts w:ascii="宋体" w:hAnsi="宋体" w:cs="宋体"/>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3358DDF9">
            <w:pPr>
              <w:widowControl/>
              <w:spacing w:line="360" w:lineRule="auto"/>
              <w:contextualSpacing/>
              <w:jc w:val="center"/>
              <w:rPr>
                <w:rFonts w:ascii="宋体" w:hAnsi="宋体" w:cs="宋体"/>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tcMar>
              <w:top w:w="120" w:type="dxa"/>
              <w:left w:w="120" w:type="dxa"/>
              <w:bottom w:w="120" w:type="dxa"/>
              <w:right w:w="120" w:type="dxa"/>
            </w:tcMar>
            <w:vAlign w:val="center"/>
          </w:tcPr>
          <w:p w14:paraId="734857DF">
            <w:pPr>
              <w:widowControl/>
              <w:spacing w:line="360" w:lineRule="auto"/>
              <w:contextualSpacing/>
              <w:jc w:val="center"/>
              <w:rPr>
                <w:rFonts w:ascii="宋体" w:hAnsi="宋体" w:cs="宋体"/>
                <w:color w:val="auto"/>
                <w:kern w:val="0"/>
                <w:sz w:val="24"/>
                <w:highlight w:val="none"/>
              </w:rPr>
            </w:pPr>
          </w:p>
        </w:tc>
      </w:tr>
    </w:tbl>
    <w:p w14:paraId="2FDECB90">
      <w:pPr>
        <w:spacing w:line="360" w:lineRule="auto"/>
        <w:contextualSpacing/>
        <w:jc w:val="left"/>
        <w:rPr>
          <w:rFonts w:ascii="宋体" w:hAnsi="宋体"/>
          <w:color w:val="auto"/>
          <w:sz w:val="24"/>
          <w:highlight w:val="none"/>
        </w:rPr>
      </w:pPr>
      <w:r>
        <w:rPr>
          <w:rFonts w:hint="eastAsia" w:ascii="宋体" w:hAnsi="宋体"/>
          <w:color w:val="auto"/>
          <w:sz w:val="24"/>
          <w:highlight w:val="none"/>
        </w:rPr>
        <w:t>注：</w:t>
      </w:r>
    </w:p>
    <w:p w14:paraId="113431E0">
      <w:pPr>
        <w:spacing w:line="360" w:lineRule="auto"/>
        <w:ind w:firstLine="480" w:firstLineChars="200"/>
        <w:contextualSpacing/>
        <w:jc w:val="left"/>
        <w:rPr>
          <w:rFonts w:ascii="宋体" w:hAnsi="宋体"/>
          <w:color w:val="auto"/>
          <w:sz w:val="24"/>
          <w:highlight w:val="none"/>
        </w:rPr>
      </w:pPr>
      <w:r>
        <w:rPr>
          <w:rFonts w:hint="eastAsia" w:ascii="宋体" w:hAnsi="宋体"/>
          <w:color w:val="auto"/>
          <w:sz w:val="24"/>
          <w:highlight w:val="none"/>
        </w:rPr>
        <w:t>1.管理关系：是指不具有出资持股关系的其他单位之间存在的管理与被管理关系，如一些上下级关系的事业单位和团体组织。</w:t>
      </w:r>
    </w:p>
    <w:p w14:paraId="1A6A1AB2">
      <w:pPr>
        <w:spacing w:line="360" w:lineRule="auto"/>
        <w:ind w:firstLine="480" w:firstLineChars="200"/>
        <w:contextualSpacing/>
        <w:jc w:val="left"/>
        <w:rPr>
          <w:rFonts w:ascii="宋体" w:hAnsi="宋体"/>
          <w:color w:val="auto"/>
          <w:sz w:val="24"/>
          <w:highlight w:val="none"/>
        </w:rPr>
      </w:pPr>
      <w:r>
        <w:rPr>
          <w:rFonts w:hint="eastAsia" w:ascii="宋体" w:hAnsi="宋体"/>
          <w:color w:val="auto"/>
          <w:sz w:val="24"/>
          <w:highlight w:val="none"/>
        </w:rPr>
        <w:t>2.</w:t>
      </w:r>
      <w:r>
        <w:rPr>
          <w:rFonts w:hint="eastAsia" w:ascii="宋体" w:hAnsi="宋体"/>
          <w:color w:val="auto"/>
          <w:spacing w:val="-6"/>
          <w:sz w:val="24"/>
          <w:highlight w:val="none"/>
        </w:rPr>
        <w:t>本表所指的管理关系仅限于直接管理关系，不包括间接的管理关系。</w:t>
      </w:r>
    </w:p>
    <w:p w14:paraId="738EDA9B">
      <w:pPr>
        <w:spacing w:line="360" w:lineRule="auto"/>
        <w:ind w:firstLine="480" w:firstLineChars="200"/>
        <w:contextualSpacing/>
        <w:jc w:val="left"/>
        <w:rPr>
          <w:rFonts w:ascii="宋体" w:hAnsi="宋体"/>
          <w:color w:val="auto"/>
          <w:sz w:val="24"/>
          <w:highlight w:val="none"/>
        </w:rPr>
      </w:pPr>
      <w:r>
        <w:rPr>
          <w:rFonts w:hint="eastAsia" w:ascii="宋体" w:hAnsi="宋体"/>
          <w:color w:val="auto"/>
          <w:sz w:val="24"/>
          <w:highlight w:val="none"/>
        </w:rPr>
        <w:t>3.供应商不存在直接管理关系的，则填“无”。</w:t>
      </w:r>
    </w:p>
    <w:p w14:paraId="4A655223">
      <w:pPr>
        <w:spacing w:line="360" w:lineRule="auto"/>
        <w:contextualSpacing/>
        <w:jc w:val="left"/>
        <w:rPr>
          <w:rFonts w:ascii="宋体" w:hAnsi="宋体"/>
          <w:color w:val="auto"/>
          <w:sz w:val="24"/>
          <w:highlight w:val="none"/>
        </w:rPr>
      </w:pPr>
    </w:p>
    <w:p w14:paraId="2C0CDCDC">
      <w:pPr>
        <w:spacing w:line="360" w:lineRule="auto"/>
        <w:contextualSpacing/>
        <w:jc w:val="left"/>
        <w:rPr>
          <w:rFonts w:ascii="宋体" w:hAnsi="宋体"/>
          <w:color w:val="auto"/>
          <w:sz w:val="24"/>
          <w:highlight w:val="none"/>
        </w:rPr>
      </w:pPr>
    </w:p>
    <w:p w14:paraId="0481BD17">
      <w:pPr>
        <w:spacing w:line="360" w:lineRule="auto"/>
        <w:contextualSpacing/>
        <w:jc w:val="left"/>
        <w:rPr>
          <w:color w:val="auto"/>
          <w:sz w:val="24"/>
          <w:highlight w:val="none"/>
        </w:rPr>
      </w:pPr>
    </w:p>
    <w:p w14:paraId="003FD4AE">
      <w:pPr>
        <w:spacing w:line="360" w:lineRule="auto"/>
        <w:contextualSpacing/>
        <w:jc w:val="left"/>
        <w:rPr>
          <w:color w:val="auto"/>
          <w:sz w:val="24"/>
          <w:highlight w:val="none"/>
        </w:rPr>
      </w:pPr>
    </w:p>
    <w:p w14:paraId="2BCEC8F7">
      <w:pPr>
        <w:spacing w:line="360" w:lineRule="auto"/>
        <w:contextualSpacing/>
        <w:jc w:val="left"/>
        <w:rPr>
          <w:color w:val="auto"/>
          <w:sz w:val="24"/>
          <w:highlight w:val="none"/>
        </w:rPr>
      </w:pPr>
    </w:p>
    <w:p w14:paraId="37007696">
      <w:pPr>
        <w:spacing w:line="360" w:lineRule="auto"/>
        <w:contextualSpacing/>
        <w:jc w:val="left"/>
        <w:rPr>
          <w:rFonts w:ascii="宋体" w:hAnsi="宋体"/>
          <w:color w:val="auto"/>
          <w:sz w:val="24"/>
          <w:highlight w:val="none"/>
        </w:rPr>
      </w:pPr>
    </w:p>
    <w:p w14:paraId="27D22BF7">
      <w:pPr>
        <w:spacing w:line="360" w:lineRule="auto"/>
        <w:ind w:right="480" w:firstLine="2160" w:firstLineChars="900"/>
        <w:contextualSpacing/>
        <w:rPr>
          <w:rFonts w:ascii="宋体" w:hAnsi="宋体"/>
          <w:color w:val="auto"/>
          <w:sz w:val="24"/>
          <w:highlight w:val="none"/>
          <w:u w:val="single"/>
        </w:rPr>
      </w:pPr>
      <w:r>
        <w:rPr>
          <w:rFonts w:hint="eastAsia" w:ascii="宋体" w:hAnsi="宋体"/>
          <w:color w:val="auto"/>
          <w:sz w:val="24"/>
          <w:highlight w:val="none"/>
        </w:rPr>
        <w:t>法定代表人或者委托代理人签字：</w:t>
      </w:r>
      <w:r>
        <w:rPr>
          <w:rFonts w:hint="eastAsia" w:ascii="宋体" w:hAnsi="宋体"/>
          <w:color w:val="auto"/>
          <w:sz w:val="24"/>
          <w:highlight w:val="none"/>
          <w:u w:val="single"/>
        </w:rPr>
        <w:t xml:space="preserve">               </w:t>
      </w:r>
    </w:p>
    <w:p w14:paraId="44ED638B">
      <w:pPr>
        <w:spacing w:line="360" w:lineRule="auto"/>
        <w:ind w:right="480" w:firstLine="3360" w:firstLineChars="1400"/>
        <w:contextualSpacing/>
        <w:rPr>
          <w:rFonts w:ascii="宋体" w:hAnsi="宋体"/>
          <w:color w:val="auto"/>
          <w:sz w:val="24"/>
          <w:highlight w:val="none"/>
        </w:rPr>
      </w:pPr>
      <w:r>
        <w:rPr>
          <w:rFonts w:hint="eastAsia" w:ascii="宋体" w:hAnsi="宋体"/>
          <w:color w:val="auto"/>
          <w:sz w:val="24"/>
          <w:highlight w:val="none"/>
        </w:rPr>
        <w:t>供应商（盖公章）：</w:t>
      </w:r>
      <w:r>
        <w:rPr>
          <w:rFonts w:hint="eastAsia" w:ascii="宋体" w:hAnsi="宋体"/>
          <w:color w:val="auto"/>
          <w:sz w:val="24"/>
          <w:highlight w:val="none"/>
          <w:u w:val="single"/>
        </w:rPr>
        <w:t xml:space="preserve">                </w:t>
      </w:r>
    </w:p>
    <w:p w14:paraId="6210A9E7">
      <w:pPr>
        <w:spacing w:line="360" w:lineRule="auto"/>
        <w:ind w:right="480" w:firstLine="240" w:firstLineChars="100"/>
        <w:contextualSpacing/>
        <w:jc w:val="center"/>
        <w:rPr>
          <w:rFonts w:ascii="宋体" w:hAnsi="宋体"/>
          <w:color w:val="auto"/>
          <w:sz w:val="28"/>
          <w:szCs w:val="28"/>
          <w:highlight w:val="none"/>
        </w:rPr>
      </w:pPr>
      <w:r>
        <w:rPr>
          <w:rFonts w:hint="eastAsia" w:ascii="宋体" w:hAnsi="宋体"/>
          <w:color w:val="auto"/>
          <w:sz w:val="24"/>
          <w:highlight w:val="none"/>
        </w:rPr>
        <w:t xml:space="preserve">                                        年    月    日</w:t>
      </w:r>
    </w:p>
    <w:p w14:paraId="3452FE07">
      <w:pPr>
        <w:spacing w:line="320" w:lineRule="exact"/>
        <w:jc w:val="center"/>
        <w:rPr>
          <w:rFonts w:ascii="宋体" w:hAnsi="宋体"/>
          <w:b/>
          <w:color w:val="auto"/>
          <w:sz w:val="32"/>
          <w:szCs w:val="32"/>
          <w:highlight w:val="none"/>
        </w:rPr>
      </w:pPr>
      <w:r>
        <w:rPr>
          <w:rFonts w:ascii="宋体" w:hAnsi="宋体"/>
          <w:color w:val="auto"/>
          <w:sz w:val="28"/>
          <w:szCs w:val="28"/>
          <w:highlight w:val="none"/>
        </w:rPr>
        <w:br w:type="page"/>
      </w:r>
      <w:r>
        <w:rPr>
          <w:rFonts w:hint="eastAsia" w:ascii="宋体" w:hAnsi="宋体"/>
          <w:b/>
          <w:color w:val="auto"/>
          <w:sz w:val="32"/>
          <w:szCs w:val="32"/>
          <w:highlight w:val="none"/>
        </w:rPr>
        <w:t>竞标声明</w:t>
      </w:r>
    </w:p>
    <w:p w14:paraId="6EE816BA">
      <w:pPr>
        <w:spacing w:line="320" w:lineRule="exact"/>
        <w:jc w:val="center"/>
        <w:rPr>
          <w:rFonts w:ascii="宋体" w:hAnsi="宋体"/>
          <w:color w:val="auto"/>
          <w:sz w:val="24"/>
          <w:szCs w:val="20"/>
          <w:highlight w:val="none"/>
        </w:rPr>
      </w:pPr>
    </w:p>
    <w:p w14:paraId="58BCC2A6">
      <w:pPr>
        <w:spacing w:line="360" w:lineRule="auto"/>
        <w:contextualSpacing/>
        <w:rPr>
          <w:rFonts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（采购人名称）</w:t>
      </w:r>
      <w:r>
        <w:rPr>
          <w:rFonts w:hint="eastAsia" w:ascii="宋体" w:hAnsi="宋体" w:cs="宋体"/>
          <w:color w:val="auto"/>
          <w:sz w:val="24"/>
          <w:highlight w:val="none"/>
        </w:rPr>
        <w:t>：</w:t>
      </w:r>
    </w:p>
    <w:p w14:paraId="5C84357E">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u w:val="single"/>
        </w:rPr>
        <w:t>（供应商名称）</w:t>
      </w:r>
      <w:r>
        <w:rPr>
          <w:rFonts w:hint="eastAsia" w:ascii="宋体" w:hAnsi="宋体" w:cs="宋体"/>
          <w:color w:val="auto"/>
          <w:sz w:val="24"/>
          <w:highlight w:val="none"/>
        </w:rPr>
        <w:t>系中华人民共和国合法供应商，经营地址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5704FEC9">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我方愿意参加贵方组织的</w:t>
      </w:r>
      <w:r>
        <w:rPr>
          <w:rFonts w:hint="eastAsia" w:ascii="宋体" w:hAnsi="宋体" w:cs="宋体"/>
          <w:color w:val="auto"/>
          <w:sz w:val="24"/>
          <w:highlight w:val="none"/>
          <w:u w:val="single"/>
        </w:rPr>
        <w:t>（项目名称）</w:t>
      </w:r>
      <w:r>
        <w:rPr>
          <w:rFonts w:hint="eastAsia" w:ascii="宋体" w:hAnsi="宋体" w:cs="宋体"/>
          <w:color w:val="auto"/>
          <w:sz w:val="24"/>
          <w:highlight w:val="none"/>
        </w:rPr>
        <w:t>项目的竞标，为便于贵方公正、择优地确定成交供应商及其竞标产品和服务，我方就本次竞标有关事项郑重声明如下：</w:t>
      </w:r>
    </w:p>
    <w:p w14:paraId="75AF40F4">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1.我方向贵方提交的所有响应文件、资料都是准确的和真实的。</w:t>
      </w:r>
    </w:p>
    <w:p w14:paraId="5F5BCBF9">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我方不是采购人的附属机构；不是为本次采购项目提供整体设计、规范编制或者项目管理、监理、检测等服务的供应商；在获知本项目采购信息后，与采购人聘请的为此项目提供咨询服务的公司及其附属机构没有任何联系。</w:t>
      </w:r>
    </w:p>
    <w:p w14:paraId="5FACE8B2">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3.在此，我方宣布同意如下：</w:t>
      </w:r>
    </w:p>
    <w:p w14:paraId="0767DB52">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（1）将按磋商文件的约定履行合同责任和义务；</w:t>
      </w:r>
    </w:p>
    <w:p w14:paraId="3655866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（2）已详细审查全部磋商文件，包括澄清或者更正公告（如有）；</w:t>
      </w:r>
    </w:p>
    <w:p w14:paraId="0A12A877">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（3）同意提供按照贵方可能要求的与磋商有关的一切数据或者资料；</w:t>
      </w:r>
    </w:p>
    <w:p w14:paraId="08D59ECC">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（4）响应磋商文件规定的竞标有效期。</w:t>
      </w:r>
    </w:p>
    <w:p w14:paraId="0639A91E">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4.我方承诺符合《中华人民共和国政府采购法》第二十二条规定：</w:t>
      </w:r>
    </w:p>
    <w:p w14:paraId="6D198F6E">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14:paraId="08A05D42">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14:paraId="0B266ED8">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14:paraId="5C76FAFB">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14:paraId="5B8756F5">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14:paraId="721FE4CB">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（6）法律、行政法规规定的其他条件。</w:t>
      </w:r>
    </w:p>
    <w:p w14:paraId="4C99403F">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5.我方在此声明，我方在参加本项目的采购活动前三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14:paraId="53D13FF1">
      <w:pPr>
        <w:pStyle w:val="12"/>
        <w:spacing w:line="360" w:lineRule="auto"/>
        <w:ind w:firstLine="480" w:firstLineChars="200"/>
        <w:contextualSpacing/>
        <w:rPr>
          <w:rFonts w:hAnsi="宋体" w:cs="宋体"/>
          <w:color w:val="auto"/>
          <w:sz w:val="24"/>
          <w:szCs w:val="24"/>
          <w:highlight w:val="none"/>
          <w:u w:val="single"/>
        </w:rPr>
      </w:pPr>
      <w:r>
        <w:rPr>
          <w:rFonts w:hint="eastAsia" w:ascii="宋体" w:hAnsi="宋体" w:cs="宋体"/>
          <w:color w:val="auto"/>
          <w:sz w:val="24"/>
          <w:highlight w:val="none"/>
        </w:rPr>
        <w:t>6.</w:t>
      </w:r>
      <w:r>
        <w:rPr>
          <w:rFonts w:hint="eastAsia" w:hAnsi="宋体" w:cs="宋体"/>
          <w:color w:val="auto"/>
          <w:sz w:val="24"/>
          <w:szCs w:val="24"/>
          <w:highlight w:val="none"/>
        </w:rPr>
        <w:t>与本磋商有关的一切正式往来信函请寄：</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邮政编号：</w:t>
      </w:r>
      <w:r>
        <w:rPr>
          <w:rFonts w:hint="eastAsia" w:hAnsi="宋体" w:cs="宋体"/>
          <w:color w:val="auto"/>
          <w:sz w:val="24"/>
          <w:szCs w:val="24"/>
          <w:highlight w:val="none"/>
          <w:u w:val="single"/>
        </w:rPr>
        <w:t xml:space="preserve">        </w:t>
      </w:r>
    </w:p>
    <w:p w14:paraId="393E34C9">
      <w:pPr>
        <w:pStyle w:val="12"/>
        <w:spacing w:line="360" w:lineRule="auto"/>
        <w:ind w:firstLine="480" w:firstLineChars="200"/>
        <w:contextualSpacing/>
        <w:rPr>
          <w:rFonts w:hAnsi="宋体" w:cs="宋体"/>
          <w:color w:val="auto"/>
          <w:sz w:val="24"/>
          <w:szCs w:val="24"/>
          <w:highlight w:val="none"/>
        </w:rPr>
      </w:pPr>
      <w:r>
        <w:rPr>
          <w:rFonts w:hint="eastAsia" w:hAnsi="宋体" w:cs="宋体"/>
          <w:color w:val="auto"/>
          <w:sz w:val="24"/>
          <w:szCs w:val="24"/>
          <w:highlight w:val="none"/>
        </w:rPr>
        <w:t>电话/传真：</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 xml:space="preserve"> 电子函件：</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 xml:space="preserve">    </w:t>
      </w:r>
    </w:p>
    <w:p w14:paraId="3FE78141">
      <w:pPr>
        <w:pStyle w:val="11"/>
        <w:tabs>
          <w:tab w:val="left" w:pos="939"/>
        </w:tabs>
        <w:spacing w:line="360" w:lineRule="auto"/>
        <w:ind w:left="141" w:leftChars="67" w:firstLine="360" w:firstLineChars="150"/>
        <w:rPr>
          <w:rFonts w:ascii="宋体" w:hAnsi="宋体" w:cs="宋体"/>
          <w:color w:val="auto"/>
          <w:sz w:val="24"/>
          <w:highlight w:val="none"/>
        </w:rPr>
      </w:pPr>
      <w:r>
        <w:rPr>
          <w:rFonts w:hint="eastAsia" w:ascii="宋体" w:hAnsi="宋体" w:cs="宋体"/>
          <w:color w:val="auto"/>
          <w:sz w:val="24"/>
          <w:highlight w:val="none"/>
        </w:rPr>
        <w:t>开户银行：</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帐号：</w:t>
      </w:r>
      <w:r>
        <w:rPr>
          <w:rFonts w:hint="eastAsia" w:ascii="宋体" w:hAnsi="宋体" w:cs="宋体"/>
          <w:color w:val="auto"/>
          <w:sz w:val="24"/>
          <w:highlight w:val="none"/>
          <w:u w:val="single"/>
        </w:rPr>
        <w:t xml:space="preserve">                               </w:t>
      </w:r>
    </w:p>
    <w:p w14:paraId="737BDF72">
      <w:pPr>
        <w:pStyle w:val="11"/>
        <w:tabs>
          <w:tab w:val="left" w:pos="939"/>
        </w:tabs>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sz w:val="24"/>
          <w:highlight w:val="none"/>
        </w:rPr>
        <w:t>.以上事项如有虚假或者隐瞒，我方愿意承担一切后果，并不再寻求任何旨在减轻或者免除法律责任的辩解。</w:t>
      </w:r>
    </w:p>
    <w:p w14:paraId="477ED3BD">
      <w:pPr>
        <w:pStyle w:val="11"/>
        <w:tabs>
          <w:tab w:val="left" w:pos="939"/>
        </w:tabs>
        <w:spacing w:line="360" w:lineRule="auto"/>
        <w:ind w:left="141" w:leftChars="67" w:firstLine="360" w:firstLineChars="150"/>
        <w:rPr>
          <w:rFonts w:ascii="宋体" w:hAnsi="宋体" w:cs="宋体"/>
          <w:color w:val="auto"/>
          <w:sz w:val="24"/>
          <w:highlight w:val="none"/>
        </w:rPr>
      </w:pPr>
      <w:r>
        <w:rPr>
          <w:rFonts w:hint="eastAsia" w:ascii="宋体" w:hAnsi="宋体" w:cs="宋体"/>
          <w:color w:val="auto"/>
          <w:sz w:val="24"/>
          <w:highlight w:val="none"/>
        </w:rPr>
        <w:t>特此承诺。</w:t>
      </w:r>
    </w:p>
    <w:p w14:paraId="10967718">
      <w:pPr>
        <w:pStyle w:val="11"/>
        <w:tabs>
          <w:tab w:val="left" w:pos="939"/>
        </w:tabs>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注：如为联合体竞标，盖章处须加盖联合体各方公章并由联合体各方法定代表人签署，否则其响应文件按无效响应处理。</w:t>
      </w:r>
    </w:p>
    <w:p w14:paraId="109FC537">
      <w:pPr>
        <w:pStyle w:val="11"/>
        <w:tabs>
          <w:tab w:val="left" w:pos="939"/>
        </w:tabs>
        <w:spacing w:line="360" w:lineRule="auto"/>
        <w:ind w:left="0" w:leftChars="0" w:firstLine="480" w:firstLineChars="200"/>
        <w:rPr>
          <w:rFonts w:ascii="宋体" w:hAnsi="宋体" w:cs="宋体"/>
          <w:color w:val="auto"/>
          <w:sz w:val="24"/>
          <w:highlight w:val="none"/>
        </w:rPr>
      </w:pPr>
    </w:p>
    <w:p w14:paraId="410088BF">
      <w:pPr>
        <w:spacing w:line="360" w:lineRule="auto"/>
        <w:ind w:firstLine="4320" w:firstLineChars="1800"/>
        <w:contextualSpacing/>
        <w:rPr>
          <w:color w:val="auto"/>
          <w:sz w:val="24"/>
          <w:highlight w:val="none"/>
        </w:rPr>
      </w:pPr>
      <w:r>
        <w:rPr>
          <w:rFonts w:hint="eastAsia"/>
          <w:color w:val="auto"/>
          <w:sz w:val="24"/>
          <w:highlight w:val="none"/>
        </w:rPr>
        <w:t>法定代表人（签字）：</w:t>
      </w:r>
      <w:r>
        <w:rPr>
          <w:rFonts w:hint="eastAsia"/>
          <w:color w:val="auto"/>
          <w:sz w:val="24"/>
          <w:highlight w:val="none"/>
          <w:u w:val="single"/>
        </w:rPr>
        <w:t xml:space="preserve">                             </w:t>
      </w:r>
      <w:r>
        <w:rPr>
          <w:rFonts w:hint="eastAsia"/>
          <w:color w:val="auto"/>
          <w:sz w:val="24"/>
          <w:highlight w:val="none"/>
        </w:rPr>
        <w:t xml:space="preserve">                                     </w:t>
      </w:r>
    </w:p>
    <w:p w14:paraId="4C8AE9FE">
      <w:pPr>
        <w:spacing w:line="360" w:lineRule="auto"/>
        <w:ind w:firstLine="4320" w:firstLineChars="1800"/>
        <w:contextualSpacing/>
        <w:rPr>
          <w:rFonts w:ascii="宋体" w:hAnsi="宋体" w:cs="宋体"/>
          <w:color w:val="auto"/>
          <w:sz w:val="24"/>
          <w:highlight w:val="none"/>
          <w:u w:val="single"/>
        </w:rPr>
      </w:pPr>
      <w:r>
        <w:rPr>
          <w:rFonts w:hint="eastAsia"/>
          <w:color w:val="auto"/>
          <w:sz w:val="24"/>
          <w:highlight w:val="none"/>
        </w:rPr>
        <w:t>供应商（盖公章）：</w:t>
      </w:r>
      <w:r>
        <w:rPr>
          <w:rFonts w:hint="eastAsia"/>
          <w:color w:val="auto"/>
          <w:sz w:val="24"/>
          <w:highlight w:val="none"/>
          <w:u w:val="single"/>
        </w:rPr>
        <w:t xml:space="preserve">                               </w:t>
      </w:r>
      <w:r>
        <w:rPr>
          <w:rFonts w:hint="eastAsia"/>
          <w:color w:val="auto"/>
          <w:sz w:val="24"/>
          <w:highlight w:val="none"/>
        </w:rPr>
        <w:t xml:space="preserve">       </w:t>
      </w:r>
      <w:r>
        <w:rPr>
          <w:rFonts w:hint="eastAsia" w:ascii="宋体" w:hAnsi="宋体" w:cs="宋体"/>
          <w:color w:val="auto"/>
          <w:sz w:val="24"/>
          <w:highlight w:val="none"/>
        </w:rPr>
        <w:t xml:space="preserve">    </w:t>
      </w:r>
    </w:p>
    <w:p w14:paraId="083F909D">
      <w:pPr>
        <w:spacing w:line="360" w:lineRule="auto"/>
        <w:ind w:right="480" w:firstLine="240" w:firstLineChars="100"/>
        <w:contextualSpacing/>
        <w:jc w:val="center"/>
        <w:rPr>
          <w:rFonts w:ascii="宋体" w:hAnsi="宋体"/>
          <w:color w:val="auto"/>
          <w:sz w:val="28"/>
          <w:szCs w:val="28"/>
          <w:highlight w:val="none"/>
        </w:rPr>
      </w:pPr>
      <w:r>
        <w:rPr>
          <w:rFonts w:hint="eastAsia" w:ascii="宋体" w:hAnsi="宋体" w:cs="宋体"/>
          <w:color w:val="auto"/>
          <w:sz w:val="24"/>
          <w:highlight w:val="none"/>
        </w:rPr>
        <w:t xml:space="preserve">                                                  </w:t>
      </w:r>
      <w:r>
        <w:rPr>
          <w:rFonts w:hint="eastAsia"/>
          <w:color w:val="auto"/>
          <w:sz w:val="24"/>
          <w:highlight w:val="none"/>
        </w:rPr>
        <w:t xml:space="preserve"> 年    月    日</w:t>
      </w:r>
    </w:p>
    <w:p w14:paraId="099B9AA0">
      <w:pPr>
        <w:pStyle w:val="6"/>
        <w:overflowPunct w:val="0"/>
        <w:spacing w:line="520" w:lineRule="exact"/>
        <w:ind w:firstLine="0"/>
        <w:rPr>
          <w:rFonts w:ascii="宋体" w:hAnsi="宋体"/>
          <w:b/>
          <w:bCs/>
          <w:color w:val="auto"/>
          <w:sz w:val="32"/>
          <w:szCs w:val="32"/>
          <w:highlight w:val="none"/>
        </w:rPr>
      </w:pPr>
    </w:p>
    <w:p w14:paraId="5A41C35B">
      <w:pPr>
        <w:adjustRightInd w:val="0"/>
        <w:snapToGrid w:val="0"/>
        <w:spacing w:line="360" w:lineRule="auto"/>
        <w:jc w:val="center"/>
        <w:rPr>
          <w:rFonts w:hint="eastAsia" w:ascii="宋体" w:hAnsi="宋体" w:cs="宋体"/>
          <w:b/>
          <w:color w:val="auto"/>
          <w:sz w:val="32"/>
          <w:szCs w:val="32"/>
          <w:highlight w:val="none"/>
        </w:rPr>
      </w:pPr>
      <w:r>
        <w:rPr>
          <w:rFonts w:ascii="宋体" w:hAnsi="宋体"/>
          <w:b/>
          <w:bCs/>
          <w:color w:val="auto"/>
          <w:sz w:val="32"/>
          <w:szCs w:val="32"/>
          <w:highlight w:val="none"/>
        </w:rPr>
        <w:br w:type="page"/>
      </w:r>
      <w:r>
        <w:rPr>
          <w:rFonts w:hint="eastAsia" w:ascii="宋体" w:hAnsi="宋体" w:cs="宋体"/>
          <w:b/>
          <w:color w:val="auto"/>
          <w:sz w:val="32"/>
          <w:szCs w:val="32"/>
          <w:highlight w:val="none"/>
        </w:rPr>
        <w:t>中小企业声明函（服务）</w:t>
      </w:r>
    </w:p>
    <w:p w14:paraId="41208C13">
      <w:pPr>
        <w:widowControl/>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本公司郑重声明，根据《政府采购促进中小企业发展管理办法》（财库﹝2020﹞46 号）的规定，本公司参加</w:t>
      </w:r>
      <w:r>
        <w:rPr>
          <w:rFonts w:hint="eastAsia" w:ascii="宋体" w:hAnsi="宋体" w:cs="宋体"/>
          <w:color w:val="auto"/>
          <w:kern w:val="0"/>
          <w:szCs w:val="21"/>
          <w:highlight w:val="none"/>
          <w:u w:val="single"/>
          <w:lang w:bidi="ar"/>
        </w:rPr>
        <w:t>（单位名称）</w:t>
      </w:r>
      <w:r>
        <w:rPr>
          <w:rFonts w:hint="eastAsia" w:ascii="宋体" w:hAnsi="宋体" w:cs="宋体"/>
          <w:color w:val="auto"/>
          <w:kern w:val="0"/>
          <w:szCs w:val="21"/>
          <w:highlight w:val="none"/>
          <w:lang w:bidi="ar"/>
        </w:rPr>
        <w:t>的</w:t>
      </w:r>
      <w:r>
        <w:rPr>
          <w:rFonts w:hint="eastAsia" w:ascii="宋体" w:hAnsi="宋体" w:cs="宋体"/>
          <w:color w:val="auto"/>
          <w:kern w:val="0"/>
          <w:szCs w:val="21"/>
          <w:highlight w:val="none"/>
          <w:u w:val="single"/>
          <w:lang w:bidi="ar"/>
        </w:rPr>
        <w:t>（项目名称）</w:t>
      </w:r>
      <w:r>
        <w:rPr>
          <w:rFonts w:hint="eastAsia" w:ascii="宋体" w:hAnsi="宋体" w:cs="宋体"/>
          <w:color w:val="auto"/>
          <w:kern w:val="0"/>
          <w:szCs w:val="21"/>
          <w:highlight w:val="none"/>
          <w:lang w:bidi="ar"/>
        </w:rPr>
        <w:t>采购活动，服务全部由符合政策要求的中小企业承接。相关企业的具体情况如下：</w:t>
      </w:r>
    </w:p>
    <w:p w14:paraId="5C19FDF7">
      <w:pPr>
        <w:widowControl/>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1. （标的名称） ，属于（采购文件中明确的所属行业）；承建（承接）企业为（企业名称），从业人员人，营业收入为 万元，资产总额为 万元，属于（中型企业、小型企业、微型企业）； </w:t>
      </w:r>
    </w:p>
    <w:p w14:paraId="4CDA9035">
      <w:pPr>
        <w:widowControl/>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以上企业，不属于大企业的分支机构，不存在控股股东为大企业的情形，也不存在与大企业的负责人为同一人的情形。</w:t>
      </w:r>
    </w:p>
    <w:p w14:paraId="5A6F1623">
      <w:pPr>
        <w:widowControl/>
        <w:spacing w:line="360" w:lineRule="auto"/>
        <w:ind w:firstLine="420" w:firstLineChars="20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 xml:space="preserve">本企业对上述声明内容的真实性负责。如有虚假，将依法承担相应责任。 </w:t>
      </w:r>
    </w:p>
    <w:p w14:paraId="77EAFC60">
      <w:pPr>
        <w:widowControl/>
        <w:spacing w:line="360" w:lineRule="auto"/>
        <w:ind w:firstLine="420" w:firstLineChars="200"/>
        <w:jc w:val="left"/>
        <w:rPr>
          <w:rFonts w:hint="eastAsia" w:ascii="宋体" w:hAnsi="宋体" w:cs="宋体"/>
          <w:color w:val="auto"/>
          <w:kern w:val="0"/>
          <w:szCs w:val="21"/>
          <w:highlight w:val="none"/>
          <w:lang w:bidi="ar"/>
        </w:rPr>
      </w:pPr>
    </w:p>
    <w:p w14:paraId="7E588807">
      <w:pPr>
        <w:widowControl/>
        <w:spacing w:line="360" w:lineRule="auto"/>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企业名称（盖章）： </w:t>
      </w:r>
    </w:p>
    <w:p w14:paraId="615DA1B2">
      <w:pPr>
        <w:widowControl/>
        <w:spacing w:line="360" w:lineRule="auto"/>
        <w:jc w:val="left"/>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日 期： </w:t>
      </w:r>
    </w:p>
    <w:p w14:paraId="25FE392C">
      <w:pPr>
        <w:widowControl/>
        <w:spacing w:line="360" w:lineRule="auto"/>
        <w:jc w:val="left"/>
        <w:rPr>
          <w:rFonts w:hint="eastAsia" w:ascii="宋体" w:hAnsi="宋体" w:cs="宋体"/>
          <w:b/>
          <w:bCs/>
          <w:color w:val="auto"/>
          <w:szCs w:val="21"/>
          <w:highlight w:val="none"/>
        </w:rPr>
      </w:pPr>
      <w:r>
        <w:rPr>
          <w:rFonts w:hint="eastAsia" w:ascii="宋体" w:hAnsi="宋体" w:cs="宋体"/>
          <w:b/>
          <w:bCs/>
          <w:color w:val="auto"/>
          <w:kern w:val="0"/>
          <w:szCs w:val="21"/>
          <w:highlight w:val="none"/>
          <w:lang w:bidi="ar"/>
        </w:rPr>
        <w:t>1.从业人员、营业收入、资产总额填报上一年度数据，无上一年度数据的新成立企业可不填报。</w:t>
      </w:r>
    </w:p>
    <w:p w14:paraId="7D658E85">
      <w:pPr>
        <w:spacing w:line="360" w:lineRule="auto"/>
        <w:rPr>
          <w:rFonts w:hint="eastAsia" w:ascii="宋体" w:hAnsi="宋体" w:cs="宋体"/>
          <w:color w:val="auto"/>
          <w:szCs w:val="21"/>
          <w:highlight w:val="none"/>
        </w:rPr>
      </w:pPr>
    </w:p>
    <w:p w14:paraId="589E040F">
      <w:pPr>
        <w:spacing w:line="360" w:lineRule="auto"/>
        <w:rPr>
          <w:rFonts w:hint="eastAsia" w:ascii="宋体" w:hAnsi="宋体" w:cs="宋体"/>
          <w:color w:val="auto"/>
          <w:sz w:val="24"/>
          <w:highlight w:val="none"/>
        </w:rPr>
      </w:pPr>
      <w:r>
        <w:rPr>
          <w:rFonts w:hint="eastAsia" w:ascii="宋体" w:hAnsi="宋体" w:cs="宋体"/>
          <w:color w:val="auto"/>
          <w:szCs w:val="21"/>
          <w:highlight w:val="none"/>
        </w:rPr>
        <w:t>注：请根据自己的真实情况出具《中小企业声明函》。依法享受中小企业优惠政策的，采购人或者采购代理机构在公告中标结果时，同时公告其《中小企业声明函》，接受社会监督。</w:t>
      </w:r>
    </w:p>
    <w:p w14:paraId="2A559184">
      <w:pPr>
        <w:pStyle w:val="36"/>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color w:val="auto"/>
          <w:szCs w:val="21"/>
          <w:highlight w:val="none"/>
          <w:lang w:eastAsia="zh-CN"/>
        </w:rPr>
      </w:pPr>
    </w:p>
    <w:p w14:paraId="541FD242">
      <w:pPr>
        <w:pStyle w:val="36"/>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注：按照《财政部、司法部关于政府采购支持监狱企业发展有关问题的通知》（财库〔2014〕68号）之规定，监狱企业视同小型、微型企业，监狱企业参加政府采购活动时，应当提供由省级以上监狱管理局、戒毒管理局(含新疆生产建设兵团)出具的属于监狱企业的证明文件。按照《关于促进残疾人就业政府采购政策的通知》（财库〔2017〕141号）的规定，残疾人福利性单位视同小型、微型企业。</w:t>
      </w:r>
    </w:p>
    <w:p w14:paraId="7121A6C3">
      <w:pPr>
        <w:spacing w:line="360" w:lineRule="auto"/>
        <w:jc w:val="center"/>
        <w:rPr>
          <w:rFonts w:hint="eastAsia" w:ascii="宋体" w:hAnsi="宋体" w:cs="宋体"/>
          <w:color w:val="auto"/>
          <w:sz w:val="24"/>
          <w:highlight w:val="none"/>
        </w:rPr>
      </w:pPr>
      <w:r>
        <w:rPr>
          <w:rFonts w:hint="eastAsia" w:ascii="宋体" w:hAnsi="宋体" w:cs="宋体"/>
          <w:color w:val="auto"/>
          <w:szCs w:val="21"/>
          <w:highlight w:val="none"/>
        </w:rPr>
        <w:br w:type="page"/>
      </w:r>
      <w:r>
        <w:rPr>
          <w:rFonts w:hint="eastAsia" w:ascii="宋体" w:hAnsi="宋体" w:cs="宋体"/>
          <w:b/>
          <w:bCs/>
          <w:color w:val="auto"/>
          <w:sz w:val="32"/>
          <w:szCs w:val="32"/>
          <w:highlight w:val="none"/>
        </w:rPr>
        <w:t>残疾人福利性单位声明函</w:t>
      </w:r>
    </w:p>
    <w:p w14:paraId="27B9A9BA">
      <w:pPr>
        <w:spacing w:line="360" w:lineRule="auto"/>
        <w:rPr>
          <w:rFonts w:hint="eastAsia" w:ascii="宋体" w:hAnsi="宋体" w:cs="宋体"/>
          <w:color w:val="auto"/>
          <w:sz w:val="24"/>
          <w:highlight w:val="none"/>
        </w:rPr>
      </w:pPr>
    </w:p>
    <w:p w14:paraId="0A93FE21">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本单位郑重声明，根据《财政部民政部中国残疾人联合会关于促进残疾人就业政府采购政策的通知》（财库〔2017〕141号）的规定，本单位为符合条件的残疾人福利性单位，且本单位参加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单位的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项目采购活动提供本单位制造的货物（由本单位承担工程/提供服务），或者提供其他残疾人福利性单位制造的货物（不包括使用非残疾人福利性单位注册商标的货物）。</w:t>
      </w:r>
    </w:p>
    <w:p w14:paraId="0B19AFB0">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本单位对上述声明的真实性负责。如有虚假，将依法承担相应责任。</w:t>
      </w:r>
    </w:p>
    <w:p w14:paraId="5DE1BF00">
      <w:pPr>
        <w:spacing w:line="360" w:lineRule="auto"/>
        <w:rPr>
          <w:rFonts w:hint="eastAsia" w:ascii="宋体" w:hAnsi="宋体" w:cs="宋体"/>
          <w:color w:val="auto"/>
          <w:szCs w:val="21"/>
          <w:highlight w:val="none"/>
        </w:rPr>
      </w:pPr>
    </w:p>
    <w:p w14:paraId="48FD2189">
      <w:pPr>
        <w:spacing w:line="360" w:lineRule="auto"/>
        <w:rPr>
          <w:rFonts w:hint="eastAsia" w:ascii="宋体" w:hAnsi="宋体" w:cs="宋体"/>
          <w:color w:val="auto"/>
          <w:szCs w:val="21"/>
          <w:highlight w:val="none"/>
        </w:rPr>
      </w:pPr>
    </w:p>
    <w:p w14:paraId="540C06DB">
      <w:pPr>
        <w:spacing w:line="360" w:lineRule="auto"/>
        <w:rPr>
          <w:rFonts w:hint="eastAsia" w:ascii="宋体" w:hAnsi="宋体" w:cs="宋体"/>
          <w:color w:val="auto"/>
          <w:szCs w:val="21"/>
          <w:highlight w:val="none"/>
        </w:rPr>
      </w:pPr>
    </w:p>
    <w:p w14:paraId="00C1491B">
      <w:pPr>
        <w:spacing w:line="360" w:lineRule="auto"/>
        <w:ind w:firstLine="2100" w:firstLineChars="1000"/>
        <w:rPr>
          <w:rFonts w:hint="eastAsia" w:ascii="宋体" w:hAnsi="宋体" w:cs="宋体"/>
          <w:color w:val="auto"/>
          <w:szCs w:val="21"/>
          <w:highlight w:val="none"/>
        </w:rPr>
      </w:pPr>
      <w:r>
        <w:rPr>
          <w:rFonts w:hint="eastAsia" w:ascii="宋体" w:hAnsi="宋体" w:cs="宋体"/>
          <w:color w:val="auto"/>
          <w:szCs w:val="21"/>
          <w:highlight w:val="none"/>
        </w:rPr>
        <w:t>单位名称（盖章）：</w:t>
      </w:r>
    </w:p>
    <w:p w14:paraId="4D771F7B">
      <w:pPr>
        <w:spacing w:line="360" w:lineRule="auto"/>
        <w:ind w:firstLine="3150" w:firstLineChars="1500"/>
        <w:rPr>
          <w:rFonts w:hint="eastAsia" w:ascii="宋体" w:hAnsi="宋体" w:cs="宋体"/>
          <w:color w:val="auto"/>
          <w:szCs w:val="21"/>
          <w:highlight w:val="none"/>
        </w:rPr>
      </w:pPr>
      <w:r>
        <w:rPr>
          <w:rFonts w:hint="eastAsia" w:ascii="宋体" w:hAnsi="宋体" w:cs="宋体"/>
          <w:color w:val="auto"/>
          <w:szCs w:val="21"/>
          <w:highlight w:val="none"/>
        </w:rPr>
        <w:t>日  期：</w:t>
      </w:r>
    </w:p>
    <w:p w14:paraId="1AA21C1B">
      <w:pPr>
        <w:spacing w:line="360" w:lineRule="auto"/>
        <w:rPr>
          <w:rFonts w:hint="eastAsia" w:ascii="宋体" w:hAnsi="宋体" w:cs="宋体"/>
          <w:color w:val="auto"/>
          <w:szCs w:val="21"/>
          <w:highlight w:val="none"/>
        </w:rPr>
      </w:pPr>
    </w:p>
    <w:p w14:paraId="0672829B">
      <w:pPr>
        <w:spacing w:line="360" w:lineRule="auto"/>
        <w:rPr>
          <w:rFonts w:hint="eastAsia" w:ascii="宋体" w:hAnsi="宋体" w:cs="宋体"/>
          <w:color w:val="auto"/>
          <w:szCs w:val="21"/>
          <w:highlight w:val="none"/>
        </w:rPr>
      </w:pPr>
    </w:p>
    <w:p w14:paraId="3B22F935">
      <w:pPr>
        <w:spacing w:line="360" w:lineRule="auto"/>
        <w:rPr>
          <w:rFonts w:hint="eastAsia" w:ascii="宋体" w:hAnsi="宋体" w:cs="宋体"/>
          <w:color w:val="auto"/>
          <w:szCs w:val="21"/>
          <w:highlight w:val="none"/>
        </w:rPr>
      </w:pPr>
    </w:p>
    <w:p w14:paraId="3B1CD604">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注：请根据自己的真实情况出具《残疾人福利性单位声明函》。依法享受中小企业优惠政策的，采购人或者采购代理机构在公告中标结果时，同时公告其《残疾人福利性单位声明函》，接受社会监督。</w:t>
      </w:r>
    </w:p>
    <w:p w14:paraId="7A005F68">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18739325">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63B134DC">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72934187">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2F22A92F">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34B892D8">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314820B7">
      <w:pPr>
        <w:snapToGrid w:val="0"/>
        <w:spacing w:beforeLines="50" w:after="50" w:line="360" w:lineRule="auto"/>
        <w:ind w:right="480" w:firstLine="321" w:firstLineChars="100"/>
        <w:rPr>
          <w:rFonts w:hint="eastAsia" w:ascii="宋体" w:hAnsi="宋体" w:cs="宋体"/>
          <w:b/>
          <w:bCs/>
          <w:color w:val="auto"/>
          <w:sz w:val="32"/>
          <w:szCs w:val="32"/>
          <w:highlight w:val="none"/>
        </w:rPr>
      </w:pPr>
    </w:p>
    <w:p w14:paraId="319E0CB9">
      <w:pPr>
        <w:pStyle w:val="35"/>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附件：</w:t>
      </w:r>
    </w:p>
    <w:p w14:paraId="59E70590">
      <w:pPr>
        <w:pStyle w:val="36"/>
        <w:jc w:val="center"/>
        <w:rPr>
          <w:rFonts w:hint="eastAsia"/>
          <w:b/>
          <w:bCs/>
          <w:color w:val="auto"/>
          <w:sz w:val="24"/>
          <w:szCs w:val="32"/>
          <w:highlight w:val="none"/>
          <w:lang w:eastAsia="zh-CN"/>
        </w:rPr>
      </w:pPr>
      <w:r>
        <w:rPr>
          <w:rFonts w:hint="eastAsia"/>
          <w:b/>
          <w:bCs/>
          <w:color w:val="auto"/>
          <w:sz w:val="24"/>
          <w:szCs w:val="32"/>
          <w:highlight w:val="none"/>
          <w:lang w:eastAsia="zh-CN"/>
        </w:rPr>
        <w:t>关于印发中小企业划型标准规定的通知(工信部联企业〔2011〕300号)</w:t>
      </w:r>
    </w:p>
    <w:p w14:paraId="01E9320A">
      <w:pPr>
        <w:pStyle w:val="35"/>
        <w:rPr>
          <w:rFonts w:hint="eastAsia"/>
          <w:color w:val="auto"/>
          <w:highlight w:val="none"/>
          <w:lang w:eastAsia="zh-CN"/>
        </w:rPr>
      </w:pPr>
    </w:p>
    <w:p w14:paraId="23E0E050">
      <w:pPr>
        <w:pStyle w:val="36"/>
        <w:spacing w:line="36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关于印发中小企业划型标准规定的通知</w:t>
      </w:r>
    </w:p>
    <w:p w14:paraId="159180BB">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工信部联企业〔2011〕300号各省、自治区、直辖市人民政府，国务院各部委、各直属机构及有关单位：</w:t>
      </w:r>
    </w:p>
    <w:p w14:paraId="46EE9924">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p>
    <w:p w14:paraId="5617F24E">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工业和信息化部　国家统计局</w:t>
      </w:r>
    </w:p>
    <w:p w14:paraId="01B57A57">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国家发展和改革委员会　财政部</w:t>
      </w:r>
    </w:p>
    <w:p w14:paraId="637F4D13">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二○一一年六月十八日中小企业划型标准规定　　一、根据《中华人民共和国中小企业促进法》和《国务院关于进一步促进中小企业发展的若干意见》(国发〔2009〕36号)，制定本规定。</w:t>
      </w:r>
    </w:p>
    <w:p w14:paraId="23D41AD4">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二、中小企业划分为中型、小型、微型三种类型，具体标准根据企业从业人员、营业收入、资产总额等指标，结合行业特点制定。</w:t>
      </w:r>
    </w:p>
    <w:p w14:paraId="65D159BA">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265EBBA9">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四、各行业划型标准为：</w:t>
      </w:r>
    </w:p>
    <w:p w14:paraId="159456BC">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（一）农、林、牧、渔业。营业收入20000万元以下的为中小微型企业。其中，营业收入500万元及以上的为中型企业，营业收入50万元及以上的为小型企业，营业收入50万元以下的为微型企业。</w:t>
      </w:r>
    </w:p>
    <w:p w14:paraId="69E8F020">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5A0EB7">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30E6A638">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71D7AECC">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406F4173">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1A3C67EA">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1F34BF98">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7A132F6C">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21104DCB">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3EB4866">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03D91E4C">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260D8D2D">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3DB687D5">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44CB85AF">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（十六）其他未列明行业。从业人员300人以下的为中小微型企业。其中，从业人员100人及以上的为中型企业；从业人员10人及以上的为小型企业；从业人员10人以下的为微型企业。</w:t>
      </w:r>
    </w:p>
    <w:p w14:paraId="01BD1A42">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五、企业类型的划分以统计部门的统计数据为依据。</w:t>
      </w:r>
    </w:p>
    <w:p w14:paraId="75227A74">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六、本规定适用于在中华人民共和国境内依法设立的各类所有制和各种组织形式的企业。个体工商户和本规定以外的行业，参照本规定进行划型。</w:t>
      </w:r>
    </w:p>
    <w:p w14:paraId="4E544CA9">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七、本规定的中型企业标准上限即为大型企业标准的下限，国家统计部门据此制定大中小微型企业的统计分类。国务院有关部门据此进行相关数据分析，不得制定与本规定不一致的企业划型标准。</w:t>
      </w:r>
    </w:p>
    <w:p w14:paraId="48A0F9BA">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八、本规定由工业和信息化部、国家统计局会同有关部门根据《国民经济行业分类》修订情况和企业发展变化情况适时修订。</w:t>
      </w:r>
    </w:p>
    <w:p w14:paraId="2638A26D">
      <w:pPr>
        <w:pStyle w:val="36"/>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九、本规定由工业和信息化部、国家统计局会同有关部门负责解释。</w:t>
      </w:r>
    </w:p>
    <w:p w14:paraId="682A985B">
      <w:pPr>
        <w:pStyle w:val="36"/>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十、本规定自发布之日起执行，原国家经贸委、原国家计委、财政部和国家统计局2003年颁布的《中小企业标准暂行规定》同时废止。</w:t>
      </w:r>
    </w:p>
    <w:p w14:paraId="31879975">
      <w:pPr>
        <w:snapToGrid w:val="0"/>
        <w:spacing w:before="156" w:beforeLines="50" w:after="50" w:line="360" w:lineRule="auto"/>
        <w:ind w:right="480" w:firstLine="321" w:firstLineChars="100"/>
        <w:jc w:val="center"/>
        <w:rPr>
          <w:rFonts w:ascii="宋体" w:hAnsi="宋体"/>
          <w:b/>
          <w:color w:val="auto"/>
          <w:sz w:val="32"/>
          <w:szCs w:val="32"/>
          <w:highlight w:val="none"/>
        </w:rPr>
      </w:pPr>
      <w:r>
        <w:rPr>
          <w:rFonts w:hint="eastAsia" w:ascii="宋体" w:hAnsi="宋体"/>
          <w:b/>
          <w:bCs/>
          <w:color w:val="auto"/>
          <w:sz w:val="32"/>
          <w:szCs w:val="32"/>
          <w:highlight w:val="none"/>
        </w:rPr>
        <w:t>二、</w:t>
      </w:r>
      <w:r>
        <w:rPr>
          <w:rFonts w:hint="eastAsia" w:ascii="宋体" w:hAnsi="宋体"/>
          <w:b/>
          <w:color w:val="auto"/>
          <w:sz w:val="32"/>
          <w:szCs w:val="32"/>
          <w:highlight w:val="none"/>
        </w:rPr>
        <w:t>报价商务技术文件格式</w:t>
      </w:r>
    </w:p>
    <w:p w14:paraId="3A16F339">
      <w:pPr>
        <w:snapToGrid w:val="0"/>
        <w:spacing w:before="156" w:beforeLines="50" w:after="50" w:line="360" w:lineRule="auto"/>
        <w:jc w:val="left"/>
        <w:rPr>
          <w:rFonts w:ascii="宋体" w:hAnsi="宋体"/>
          <w:b/>
          <w:color w:val="auto"/>
          <w:sz w:val="32"/>
          <w:szCs w:val="32"/>
          <w:highlight w:val="none"/>
        </w:rPr>
      </w:pPr>
      <w:r>
        <w:rPr>
          <w:rFonts w:hint="eastAsia" w:ascii="宋体" w:hAnsi="宋体"/>
          <w:b/>
          <w:color w:val="auto"/>
          <w:sz w:val="32"/>
          <w:szCs w:val="32"/>
          <w:highlight w:val="none"/>
        </w:rPr>
        <w:t>1.报价商务技术文件封面格式</w:t>
      </w:r>
    </w:p>
    <w:p w14:paraId="1D7DA3C2">
      <w:pPr>
        <w:snapToGrid w:val="0"/>
        <w:spacing w:before="156" w:beforeLines="50" w:after="50"/>
        <w:rPr>
          <w:rFonts w:ascii="宋体" w:hAnsi="宋体"/>
          <w:bCs/>
          <w:color w:val="auto"/>
          <w:sz w:val="32"/>
          <w:szCs w:val="20"/>
          <w:highlight w:val="none"/>
        </w:rPr>
      </w:pPr>
      <w:r>
        <w:rPr>
          <w:rFonts w:hint="eastAsia" w:ascii="宋体" w:hAnsi="宋体"/>
          <w:color w:val="auto"/>
          <w:sz w:val="24"/>
          <w:highlight w:val="none"/>
        </w:rPr>
        <w:t xml:space="preserve">                                                    </w:t>
      </w:r>
      <w:r>
        <w:rPr>
          <w:rFonts w:hint="eastAsia" w:ascii="宋体" w:hAnsi="宋体"/>
          <w:bCs/>
          <w:color w:val="auto"/>
          <w:highlight w:val="none"/>
        </w:rPr>
        <w:t>正本/副本</w:t>
      </w:r>
    </w:p>
    <w:p w14:paraId="77FFF8FA">
      <w:pPr>
        <w:snapToGrid w:val="0"/>
        <w:spacing w:before="156" w:beforeLines="50" w:after="50"/>
        <w:rPr>
          <w:rFonts w:ascii="宋体" w:hAnsi="宋体"/>
          <w:color w:val="auto"/>
          <w:sz w:val="24"/>
          <w:szCs w:val="20"/>
          <w:highlight w:val="none"/>
        </w:rPr>
      </w:pPr>
    </w:p>
    <w:p w14:paraId="31FF952B">
      <w:pPr>
        <w:snapToGrid w:val="0"/>
        <w:spacing w:before="156" w:beforeLines="50" w:after="50"/>
        <w:rPr>
          <w:rFonts w:ascii="宋体" w:hAnsi="宋体"/>
          <w:color w:val="auto"/>
          <w:sz w:val="24"/>
          <w:szCs w:val="20"/>
          <w:highlight w:val="none"/>
        </w:rPr>
      </w:pPr>
    </w:p>
    <w:p w14:paraId="350A6053">
      <w:pPr>
        <w:snapToGrid w:val="0"/>
        <w:spacing w:before="156" w:beforeLines="50" w:after="50"/>
        <w:rPr>
          <w:rFonts w:ascii="宋体" w:hAnsi="宋体"/>
          <w:color w:val="auto"/>
          <w:sz w:val="24"/>
          <w:szCs w:val="20"/>
          <w:highlight w:val="none"/>
        </w:rPr>
      </w:pPr>
    </w:p>
    <w:p w14:paraId="6A1E117D">
      <w:pPr>
        <w:snapToGrid w:val="0"/>
        <w:spacing w:before="156" w:beforeLines="50" w:after="50"/>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报  价  商  务  技  术  文  件</w:t>
      </w:r>
    </w:p>
    <w:p w14:paraId="1E91D13D">
      <w:pPr>
        <w:snapToGrid w:val="0"/>
        <w:spacing w:before="156" w:beforeLines="50" w:after="50"/>
        <w:rPr>
          <w:rFonts w:ascii="宋体" w:hAnsi="宋体"/>
          <w:bCs/>
          <w:color w:val="auto"/>
          <w:sz w:val="24"/>
          <w:szCs w:val="20"/>
          <w:highlight w:val="none"/>
        </w:rPr>
      </w:pPr>
    </w:p>
    <w:p w14:paraId="5B14C90E">
      <w:pPr>
        <w:snapToGrid w:val="0"/>
        <w:spacing w:before="156" w:beforeLines="50" w:after="50"/>
        <w:rPr>
          <w:rFonts w:ascii="宋体" w:hAnsi="宋体"/>
          <w:bCs/>
          <w:color w:val="auto"/>
          <w:sz w:val="24"/>
          <w:szCs w:val="20"/>
          <w:highlight w:val="none"/>
        </w:rPr>
      </w:pPr>
    </w:p>
    <w:p w14:paraId="47720B42">
      <w:pPr>
        <w:snapToGrid w:val="0"/>
        <w:spacing w:before="156" w:beforeLines="50" w:after="50"/>
        <w:rPr>
          <w:rFonts w:ascii="宋体" w:hAnsi="宋体"/>
          <w:bCs/>
          <w:color w:val="auto"/>
          <w:sz w:val="24"/>
          <w:szCs w:val="20"/>
          <w:highlight w:val="none"/>
        </w:rPr>
      </w:pPr>
    </w:p>
    <w:p w14:paraId="7D26AF66">
      <w:pPr>
        <w:snapToGrid w:val="0"/>
        <w:spacing w:before="156" w:beforeLines="50" w:after="50"/>
        <w:rPr>
          <w:rFonts w:ascii="宋体" w:hAnsi="宋体"/>
          <w:bCs/>
          <w:color w:val="auto"/>
          <w:sz w:val="24"/>
          <w:szCs w:val="20"/>
          <w:highlight w:val="none"/>
        </w:rPr>
      </w:pPr>
    </w:p>
    <w:p w14:paraId="5023E6BF">
      <w:pPr>
        <w:snapToGrid w:val="0"/>
        <w:spacing w:before="156" w:beforeLines="50" w:after="50"/>
        <w:rPr>
          <w:rFonts w:ascii="宋体" w:hAnsi="宋体"/>
          <w:bCs/>
          <w:color w:val="auto"/>
          <w:sz w:val="24"/>
          <w:szCs w:val="20"/>
          <w:highlight w:val="none"/>
        </w:rPr>
      </w:pPr>
    </w:p>
    <w:p w14:paraId="0C580F9F">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项目名称：</w:t>
      </w:r>
    </w:p>
    <w:p w14:paraId="295BFF42">
      <w:pPr>
        <w:snapToGrid w:val="0"/>
        <w:spacing w:before="156" w:beforeLines="50" w:after="50"/>
        <w:ind w:firstLine="720" w:firstLineChars="225"/>
        <w:rPr>
          <w:rFonts w:ascii="宋体" w:hAnsi="宋体" w:cs="仿宋_GB2312"/>
          <w:bCs/>
          <w:color w:val="auto"/>
          <w:sz w:val="32"/>
          <w:szCs w:val="32"/>
          <w:highlight w:val="none"/>
        </w:rPr>
      </w:pPr>
    </w:p>
    <w:p w14:paraId="495C5F2B">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项目编号：</w:t>
      </w:r>
    </w:p>
    <w:p w14:paraId="77BBC671">
      <w:pPr>
        <w:snapToGrid w:val="0"/>
        <w:spacing w:before="156" w:beforeLines="50" w:after="50"/>
        <w:ind w:firstLine="720" w:firstLineChars="225"/>
        <w:rPr>
          <w:rFonts w:ascii="宋体" w:hAnsi="宋体" w:cs="仿宋_GB2312"/>
          <w:bCs/>
          <w:color w:val="auto"/>
          <w:sz w:val="32"/>
          <w:szCs w:val="32"/>
          <w:highlight w:val="none"/>
        </w:rPr>
      </w:pPr>
      <w:r>
        <w:rPr>
          <w:rFonts w:hint="eastAsia" w:ascii="宋体" w:hAnsi="宋体" w:cs="仿宋_GB2312"/>
          <w:bCs/>
          <w:color w:val="auto"/>
          <w:sz w:val="32"/>
          <w:szCs w:val="32"/>
          <w:highlight w:val="none"/>
        </w:rPr>
        <w:t xml:space="preserve"> </w:t>
      </w:r>
    </w:p>
    <w:p w14:paraId="79B8C460">
      <w:pPr>
        <w:snapToGrid w:val="0"/>
        <w:spacing w:before="156" w:beforeLines="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所竞分标（如有则填写，无分标时填写“无”或者留空）：</w:t>
      </w:r>
    </w:p>
    <w:p w14:paraId="4052834C">
      <w:pPr>
        <w:snapToGrid w:val="0"/>
        <w:spacing w:before="156" w:beforeLines="50" w:after="50"/>
        <w:ind w:firstLine="720" w:firstLineChars="225"/>
        <w:rPr>
          <w:rFonts w:ascii="宋体" w:hAnsi="宋体" w:cs="仿宋_GB2312"/>
          <w:bCs/>
          <w:color w:val="auto"/>
          <w:sz w:val="32"/>
          <w:szCs w:val="32"/>
          <w:highlight w:val="none"/>
        </w:rPr>
      </w:pPr>
    </w:p>
    <w:p w14:paraId="3883CE28">
      <w:pPr>
        <w:pStyle w:val="6"/>
        <w:snapToGrid w:val="0"/>
        <w:spacing w:before="50" w:after="50"/>
        <w:ind w:firstLine="640" w:firstLineChars="200"/>
        <w:rPr>
          <w:rFonts w:ascii="宋体" w:hAnsi="宋体" w:cs="仿宋_GB2312"/>
          <w:bCs/>
          <w:color w:val="auto"/>
          <w:sz w:val="32"/>
          <w:szCs w:val="32"/>
          <w:highlight w:val="none"/>
        </w:rPr>
      </w:pPr>
      <w:r>
        <w:rPr>
          <w:rFonts w:hint="eastAsia" w:ascii="宋体" w:hAnsi="宋体" w:cs="仿宋_GB2312"/>
          <w:bCs/>
          <w:color w:val="auto"/>
          <w:sz w:val="32"/>
          <w:szCs w:val="32"/>
          <w:highlight w:val="none"/>
        </w:rPr>
        <w:t>供应商名称：</w:t>
      </w:r>
    </w:p>
    <w:p w14:paraId="33889C50">
      <w:pPr>
        <w:pStyle w:val="6"/>
        <w:snapToGrid w:val="0"/>
        <w:spacing w:before="50" w:after="50"/>
        <w:ind w:firstLine="720" w:firstLineChars="225"/>
        <w:rPr>
          <w:rFonts w:ascii="宋体" w:hAnsi="宋体" w:cs="仿宋_GB2312"/>
          <w:bCs/>
          <w:color w:val="auto"/>
          <w:sz w:val="32"/>
          <w:szCs w:val="32"/>
          <w:highlight w:val="none"/>
        </w:rPr>
      </w:pPr>
    </w:p>
    <w:p w14:paraId="1AE1835B">
      <w:pPr>
        <w:pStyle w:val="6"/>
        <w:snapToGrid w:val="0"/>
        <w:spacing w:before="50" w:after="50"/>
        <w:ind w:firstLine="720" w:firstLineChars="225"/>
        <w:rPr>
          <w:rFonts w:ascii="宋体" w:hAnsi="宋体" w:cs="仿宋_GB2312"/>
          <w:bCs/>
          <w:color w:val="auto"/>
          <w:sz w:val="32"/>
          <w:szCs w:val="32"/>
          <w:highlight w:val="none"/>
        </w:rPr>
      </w:pPr>
    </w:p>
    <w:p w14:paraId="5878E8D0">
      <w:pPr>
        <w:pStyle w:val="6"/>
        <w:snapToGrid w:val="0"/>
        <w:spacing w:before="50" w:after="50"/>
        <w:ind w:firstLine="1280" w:firstLineChars="400"/>
        <w:rPr>
          <w:rFonts w:ascii="宋体" w:hAnsi="宋体" w:cs="仿宋_GB2312"/>
          <w:bCs/>
          <w:color w:val="auto"/>
          <w:sz w:val="32"/>
          <w:szCs w:val="32"/>
          <w:highlight w:val="none"/>
        </w:rPr>
      </w:pPr>
    </w:p>
    <w:p w14:paraId="31885A97">
      <w:pPr>
        <w:snapToGrid w:val="0"/>
        <w:spacing w:before="156" w:beforeLines="50" w:after="50"/>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年    月    日</w:t>
      </w:r>
    </w:p>
    <w:p w14:paraId="57082354">
      <w:pPr>
        <w:snapToGrid w:val="0"/>
        <w:spacing w:before="156" w:beforeLines="50" w:after="50" w:line="360" w:lineRule="auto"/>
        <w:ind w:left="142"/>
        <w:jc w:val="left"/>
        <w:rPr>
          <w:rFonts w:ascii="宋体" w:hAnsi="宋体"/>
          <w:b/>
          <w:bCs/>
          <w:color w:val="auto"/>
          <w:sz w:val="24"/>
          <w:highlight w:val="none"/>
        </w:rPr>
      </w:pPr>
      <w:r>
        <w:rPr>
          <w:rFonts w:ascii="宋体" w:hAnsi="宋体"/>
          <w:color w:val="auto"/>
          <w:sz w:val="24"/>
          <w:highlight w:val="none"/>
        </w:rPr>
        <w:br w:type="page"/>
      </w:r>
      <w:r>
        <w:rPr>
          <w:rFonts w:hint="eastAsia" w:ascii="宋体" w:hAnsi="宋体"/>
          <w:b/>
          <w:bCs/>
          <w:color w:val="auto"/>
          <w:sz w:val="32"/>
          <w:szCs w:val="32"/>
          <w:highlight w:val="none"/>
        </w:rPr>
        <w:t>2.报价商务技术文件目录</w:t>
      </w:r>
    </w:p>
    <w:p w14:paraId="6E402A80">
      <w:pPr>
        <w:snapToGrid w:val="0"/>
        <w:spacing w:before="156" w:beforeLines="50" w:after="50" w:line="360" w:lineRule="auto"/>
        <w:ind w:firstLine="640" w:firstLineChars="200"/>
        <w:rPr>
          <w:rFonts w:ascii="宋体" w:hAnsi="宋体"/>
          <w:color w:val="auto"/>
          <w:sz w:val="32"/>
          <w:szCs w:val="32"/>
          <w:highlight w:val="none"/>
        </w:rPr>
      </w:pPr>
      <w:r>
        <w:rPr>
          <w:rFonts w:hint="eastAsia" w:ascii="宋体" w:hAnsi="宋体"/>
          <w:color w:val="auto"/>
          <w:sz w:val="32"/>
          <w:szCs w:val="32"/>
          <w:highlight w:val="none"/>
        </w:rPr>
        <w:t>根据磋商文件规定及供应商提供的材料自行编写目录（部分格式后附）。</w:t>
      </w:r>
    </w:p>
    <w:p w14:paraId="2EAB5A4D">
      <w:pPr>
        <w:spacing w:line="400" w:lineRule="exact"/>
        <w:rPr>
          <w:rFonts w:ascii="仿宋_GB2312" w:hAnsi="仿宋_GB2312" w:eastAsia="仿宋_GB2312" w:cs="仿宋_GB2312"/>
          <w:color w:val="auto"/>
          <w:sz w:val="32"/>
          <w:szCs w:val="32"/>
          <w:highlight w:val="none"/>
        </w:rPr>
      </w:pPr>
    </w:p>
    <w:p w14:paraId="7EB401BA">
      <w:pPr>
        <w:spacing w:line="520" w:lineRule="exact"/>
        <w:jc w:val="center"/>
        <w:rPr>
          <w:rFonts w:ascii="仿宋_GB2312" w:hAnsi="仿宋_GB2312" w:eastAsia="仿宋_GB2312" w:cs="仿宋_GB2312"/>
          <w:color w:val="auto"/>
          <w:sz w:val="32"/>
          <w:szCs w:val="32"/>
          <w:highlight w:val="none"/>
        </w:rPr>
      </w:pPr>
      <w:r>
        <w:rPr>
          <w:rFonts w:hint="eastAsia" w:ascii="方正小标宋简体" w:hAnsi="方正小标宋简体" w:eastAsia="方正小标宋简体" w:cs="方正小标宋简体"/>
          <w:color w:val="auto"/>
          <w:sz w:val="44"/>
          <w:szCs w:val="44"/>
          <w:highlight w:val="none"/>
        </w:rPr>
        <w:br w:type="page"/>
      </w:r>
      <w:r>
        <w:rPr>
          <w:rFonts w:hint="eastAsia" w:ascii="方正小标宋简体" w:hAnsi="方正小标宋简体" w:eastAsia="方正小标宋简体" w:cs="方正小标宋简体"/>
          <w:color w:val="auto"/>
          <w:sz w:val="44"/>
          <w:szCs w:val="44"/>
          <w:highlight w:val="none"/>
        </w:rPr>
        <w:t>无串通竞标行为的承诺函</w:t>
      </w:r>
    </w:p>
    <w:p w14:paraId="5AB340E4">
      <w:pPr>
        <w:spacing w:line="360" w:lineRule="auto"/>
        <w:ind w:firstLine="640" w:firstLineChars="200"/>
        <w:contextualSpacing/>
        <w:rPr>
          <w:rFonts w:ascii="仿宋_GB2312" w:hAnsi="仿宋_GB2312" w:eastAsia="仿宋_GB2312" w:cs="仿宋_GB2312"/>
          <w:color w:val="auto"/>
          <w:sz w:val="32"/>
          <w:szCs w:val="32"/>
          <w:highlight w:val="none"/>
        </w:rPr>
      </w:pPr>
    </w:p>
    <w:p w14:paraId="29CD62A4">
      <w:pPr>
        <w:spacing w:line="360" w:lineRule="auto"/>
        <w:ind w:firstLine="482" w:firstLineChars="200"/>
        <w:contextualSpacing/>
        <w:rPr>
          <w:rFonts w:ascii="宋体" w:hAnsi="宋体" w:cs="仿宋_GB2312"/>
          <w:b/>
          <w:bCs/>
          <w:color w:val="auto"/>
          <w:sz w:val="24"/>
          <w:highlight w:val="none"/>
        </w:rPr>
      </w:pPr>
      <w:r>
        <w:rPr>
          <w:rFonts w:hint="eastAsia" w:ascii="宋体" w:hAnsi="宋体" w:cs="仿宋_GB2312"/>
          <w:b/>
          <w:bCs/>
          <w:color w:val="auto"/>
          <w:sz w:val="24"/>
          <w:highlight w:val="none"/>
        </w:rPr>
        <w:t>一、我方承诺无下列相互串通竞标的情形：</w:t>
      </w:r>
    </w:p>
    <w:p w14:paraId="474DF210">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 xml:space="preserve">1.不同供应商的响应文件由同一单位或者个人编制； </w:t>
      </w:r>
    </w:p>
    <w:p w14:paraId="144C2A67">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2.不同供应商委托同一单位或者个人办理竞标事宜；</w:t>
      </w:r>
    </w:p>
    <w:p w14:paraId="49037C0C">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3.不同供应商的响应文件载明的项目管理员为同一个人；</w:t>
      </w:r>
    </w:p>
    <w:p w14:paraId="25BAAEE7">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4.不</w:t>
      </w:r>
      <w:r>
        <w:rPr>
          <w:rFonts w:hint="eastAsia" w:ascii="宋体" w:hAnsi="宋体" w:cs="仿宋_GB2312"/>
          <w:color w:val="auto"/>
          <w:spacing w:val="-6"/>
          <w:sz w:val="24"/>
          <w:highlight w:val="none"/>
        </w:rPr>
        <w:t>同供应商的响应文件异常一致或者竞标报价呈规律性差异；</w:t>
      </w:r>
    </w:p>
    <w:p w14:paraId="05D4A5E5">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5.不同供应商的响应文件相互混装；</w:t>
      </w:r>
    </w:p>
    <w:p w14:paraId="49ECEABA">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6.不同供应商的磋商保证金从同一单位或者个人账户转出。</w:t>
      </w:r>
    </w:p>
    <w:p w14:paraId="20F5C5AD">
      <w:pPr>
        <w:spacing w:line="360" w:lineRule="auto"/>
        <w:ind w:firstLine="482" w:firstLineChars="200"/>
        <w:contextualSpacing/>
        <w:rPr>
          <w:rFonts w:ascii="宋体" w:hAnsi="宋体" w:cs="仿宋_GB2312"/>
          <w:b/>
          <w:bCs/>
          <w:color w:val="auto"/>
          <w:sz w:val="24"/>
          <w:highlight w:val="none"/>
        </w:rPr>
      </w:pPr>
      <w:r>
        <w:rPr>
          <w:rFonts w:hint="eastAsia" w:ascii="宋体" w:hAnsi="宋体" w:cs="仿宋_GB2312"/>
          <w:b/>
          <w:bCs/>
          <w:color w:val="auto"/>
          <w:sz w:val="24"/>
          <w:highlight w:val="none"/>
        </w:rPr>
        <w:t>二、我方承诺无下列恶意串通的情形：</w:t>
      </w:r>
    </w:p>
    <w:p w14:paraId="0FAD4B1A">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1.供应商直接或者间接从采购人或者采购代理机构处获得其他供应商的相关信息并修改其响应文件；</w:t>
      </w:r>
    </w:p>
    <w:p w14:paraId="0626E257">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2.供应商按照采购人或者采购代理机构的授意撤换、修改响应文件；</w:t>
      </w:r>
    </w:p>
    <w:p w14:paraId="1CC5D86F">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3.供</w:t>
      </w:r>
      <w:r>
        <w:rPr>
          <w:rFonts w:hint="eastAsia" w:ascii="宋体" w:hAnsi="宋体" w:cs="仿宋_GB2312"/>
          <w:color w:val="auto"/>
          <w:spacing w:val="-6"/>
          <w:sz w:val="24"/>
          <w:highlight w:val="none"/>
        </w:rPr>
        <w:t>应商之间协商报价、技术方案等响应文件的实质性内容；</w:t>
      </w:r>
    </w:p>
    <w:p w14:paraId="6D0CCFF8">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4.属于同一集团、协会、商会等组织成员的供应商按照该组织要求协同参加采购活动；</w:t>
      </w:r>
    </w:p>
    <w:p w14:paraId="1F935F65">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5.供应商之间事先约定一致抬高或者压低竞标报价，或者在竞争性磋商项目中事先约定轮流以高价位或者低价位成交，或者事先约定由某一特定供应商成交，然后再参加竞标；</w:t>
      </w:r>
    </w:p>
    <w:p w14:paraId="73BF7ABB">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6.供应商之间商定部分供应商放弃参加采购活动或者放弃成交；</w:t>
      </w:r>
    </w:p>
    <w:p w14:paraId="13D45E5C">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7.供应商与采购人或者采购代理机构之间、供应商相互之间，为</w:t>
      </w:r>
      <w:r>
        <w:rPr>
          <w:rFonts w:hint="eastAsia" w:ascii="宋体" w:hAnsi="宋体" w:cs="仿宋_GB2312"/>
          <w:color w:val="auto"/>
          <w:spacing w:val="-6"/>
          <w:sz w:val="24"/>
          <w:highlight w:val="none"/>
        </w:rPr>
        <w:t>谋求特定供应商成交或者排斥其他供应商的其他串通行为。</w:t>
      </w:r>
    </w:p>
    <w:p w14:paraId="55349DCD">
      <w:pPr>
        <w:spacing w:line="360" w:lineRule="auto"/>
        <w:ind w:firstLine="480" w:firstLineChars="200"/>
        <w:contextualSpacing/>
        <w:rPr>
          <w:rFonts w:ascii="宋体" w:hAnsi="宋体" w:cs="仿宋_GB2312"/>
          <w:color w:val="auto"/>
          <w:sz w:val="24"/>
          <w:highlight w:val="none"/>
        </w:rPr>
      </w:pPr>
    </w:p>
    <w:p w14:paraId="5E96AC05">
      <w:pPr>
        <w:spacing w:line="360" w:lineRule="auto"/>
        <w:ind w:firstLine="482" w:firstLineChars="200"/>
        <w:contextualSpacing/>
        <w:rPr>
          <w:rFonts w:ascii="宋体" w:hAnsi="宋体" w:cs="仿宋_GB2312"/>
          <w:b/>
          <w:bCs/>
          <w:color w:val="auto"/>
          <w:sz w:val="24"/>
          <w:highlight w:val="none"/>
        </w:rPr>
      </w:pPr>
      <w:r>
        <w:rPr>
          <w:rFonts w:hint="eastAsia" w:ascii="宋体" w:hAnsi="宋体" w:cs="仿宋_GB2312"/>
          <w:b/>
          <w:bCs/>
          <w:color w:val="auto"/>
          <w:sz w:val="24"/>
          <w:highlight w:val="none"/>
        </w:rPr>
        <w:t>以上情形一经核查属实，我方愿意承担一切后果，并不再寻求任何旨在减轻或者免除法律责任的辩解。</w:t>
      </w:r>
    </w:p>
    <w:p w14:paraId="555220E5">
      <w:pPr>
        <w:spacing w:line="360" w:lineRule="auto"/>
        <w:contextualSpacing/>
        <w:rPr>
          <w:rFonts w:ascii="宋体" w:hAnsi="宋体" w:cs="仿宋_GB2312"/>
          <w:color w:val="auto"/>
          <w:sz w:val="24"/>
          <w:highlight w:val="none"/>
        </w:rPr>
      </w:pPr>
    </w:p>
    <w:p w14:paraId="4AC4CC4E">
      <w:pPr>
        <w:spacing w:line="360" w:lineRule="auto"/>
        <w:ind w:firstLine="3600" w:firstLineChars="1500"/>
        <w:contextualSpacing/>
        <w:rPr>
          <w:rFonts w:ascii="宋体" w:hAnsi="宋体" w:cs="仿宋_GB2312"/>
          <w:color w:val="auto"/>
          <w:sz w:val="24"/>
          <w:highlight w:val="none"/>
        </w:rPr>
      </w:pPr>
      <w:r>
        <w:rPr>
          <w:rFonts w:hint="eastAsia" w:ascii="宋体" w:hAnsi="宋体" w:cs="仿宋_GB2312"/>
          <w:color w:val="auto"/>
          <w:sz w:val="24"/>
          <w:highlight w:val="none"/>
        </w:rPr>
        <w:t>供应商（盖公章）：</w:t>
      </w:r>
    </w:p>
    <w:p w14:paraId="7ADEA160">
      <w:pPr>
        <w:spacing w:line="360" w:lineRule="auto"/>
        <w:ind w:firstLine="480" w:firstLineChars="200"/>
        <w:contextualSpacing/>
        <w:jc w:val="center"/>
        <w:rPr>
          <w:rFonts w:ascii="仿宋_GB2312" w:hAnsi="仿宋_GB2312" w:eastAsia="仿宋_GB2312" w:cs="仿宋_GB2312"/>
          <w:color w:val="auto"/>
          <w:sz w:val="32"/>
          <w:szCs w:val="32"/>
          <w:highlight w:val="none"/>
        </w:rPr>
      </w:pPr>
      <w:r>
        <w:rPr>
          <w:rFonts w:hint="eastAsia" w:ascii="宋体" w:hAnsi="宋体" w:cs="仿宋_GB2312"/>
          <w:color w:val="auto"/>
          <w:sz w:val="24"/>
          <w:highlight w:val="none"/>
        </w:rPr>
        <w:t xml:space="preserve">                               年   月   日</w:t>
      </w:r>
    </w:p>
    <w:p w14:paraId="49E1E64C">
      <w:pPr>
        <w:spacing w:line="520" w:lineRule="exact"/>
        <w:jc w:val="center"/>
        <w:rPr>
          <w:rFonts w:ascii="方正小标宋简体" w:hAnsi="方正小标宋简体" w:eastAsia="方正小标宋简体" w:cs="方正小标宋简体"/>
          <w:bCs/>
          <w:color w:val="auto"/>
          <w:sz w:val="32"/>
          <w:szCs w:val="32"/>
          <w:highlight w:val="none"/>
        </w:rPr>
      </w:pPr>
      <w:r>
        <w:rPr>
          <w:rFonts w:hint="eastAsia" w:ascii="方正小标宋简体" w:hAnsi="方正小标宋简体" w:eastAsia="方正小标宋简体" w:cs="方正小标宋简体"/>
          <w:bCs/>
          <w:color w:val="auto"/>
          <w:sz w:val="44"/>
          <w:szCs w:val="44"/>
          <w:highlight w:val="none"/>
        </w:rPr>
        <w:br w:type="page"/>
      </w:r>
      <w:r>
        <w:rPr>
          <w:rFonts w:hint="eastAsia" w:ascii="方正小标宋简体" w:hAnsi="方正小标宋简体" w:eastAsia="方正小标宋简体" w:cs="方正小标宋简体"/>
          <w:bCs/>
          <w:color w:val="auto"/>
          <w:sz w:val="44"/>
          <w:szCs w:val="44"/>
          <w:highlight w:val="none"/>
        </w:rPr>
        <w:t>竞  标  报  价  表</w:t>
      </w:r>
    </w:p>
    <w:p w14:paraId="7A4CC65A">
      <w:pPr>
        <w:spacing w:line="440" w:lineRule="exact"/>
        <w:jc w:val="center"/>
        <w:rPr>
          <w:rFonts w:ascii="方正小标宋简体" w:hAnsi="方正小标宋简体" w:eastAsia="方正小标宋简体" w:cs="方正小标宋简体"/>
          <w:bCs/>
          <w:color w:val="auto"/>
          <w:sz w:val="32"/>
          <w:szCs w:val="32"/>
          <w:highlight w:val="none"/>
        </w:rPr>
      </w:pPr>
    </w:p>
    <w:p w14:paraId="6E62553E">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项目名称：</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项目编号：</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 xml:space="preserve">     </w:t>
      </w:r>
    </w:p>
    <w:p w14:paraId="4D6D10C0">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分标（如有）：</w:t>
      </w:r>
      <w:r>
        <w:rPr>
          <w:rFonts w:hint="eastAsia" w:ascii="宋体" w:hAnsi="宋体" w:cs="仿宋_GB2312"/>
          <w:color w:val="auto"/>
          <w:sz w:val="24"/>
          <w:highlight w:val="none"/>
          <w:u w:val="single"/>
        </w:rPr>
        <w:t xml:space="preserve">                                         </w:t>
      </w:r>
    </w:p>
    <w:p w14:paraId="6C287EDF">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供应商名称：</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 xml:space="preserve">   </w:t>
      </w:r>
    </w:p>
    <w:p w14:paraId="68982B25">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 xml:space="preserve">                                                单位：元</w:t>
      </w:r>
    </w:p>
    <w:tbl>
      <w:tblPr>
        <w:tblStyle w:val="21"/>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2117"/>
        <w:gridCol w:w="1829"/>
        <w:gridCol w:w="3378"/>
        <w:gridCol w:w="1184"/>
      </w:tblGrid>
      <w:tr w14:paraId="4521C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587" w:type="dxa"/>
            <w:tcBorders>
              <w:top w:val="single" w:color="auto" w:sz="4" w:space="0"/>
              <w:left w:val="single" w:color="auto" w:sz="4" w:space="0"/>
              <w:bottom w:val="single" w:color="auto" w:sz="4" w:space="0"/>
              <w:right w:val="single" w:color="auto" w:sz="4" w:space="0"/>
            </w:tcBorders>
            <w:vAlign w:val="center"/>
          </w:tcPr>
          <w:p w14:paraId="30BC0747">
            <w:pPr>
              <w:spacing w:line="360" w:lineRule="auto"/>
              <w:contextualSpacing/>
              <w:jc w:val="center"/>
              <w:rPr>
                <w:rFonts w:ascii="宋体" w:hAnsi="宋体" w:cs="仿宋_GB2312"/>
                <w:color w:val="auto"/>
                <w:sz w:val="24"/>
                <w:highlight w:val="none"/>
              </w:rPr>
            </w:pPr>
            <w:r>
              <w:rPr>
                <w:rFonts w:ascii="宋体" w:hAnsi="宋体" w:cs="仿宋_GB2312"/>
                <w:color w:val="auto"/>
                <w:sz w:val="24"/>
                <w:highlight w:val="none"/>
              </w:rPr>
              <w:t>序号</w:t>
            </w:r>
          </w:p>
        </w:tc>
        <w:tc>
          <w:tcPr>
            <w:tcW w:w="3946" w:type="dxa"/>
            <w:gridSpan w:val="2"/>
            <w:tcBorders>
              <w:top w:val="single" w:color="auto" w:sz="4" w:space="0"/>
              <w:left w:val="single" w:color="auto" w:sz="4" w:space="0"/>
              <w:bottom w:val="single" w:color="auto" w:sz="4" w:space="0"/>
              <w:right w:val="single" w:color="auto" w:sz="4" w:space="0"/>
            </w:tcBorders>
            <w:vAlign w:val="center"/>
          </w:tcPr>
          <w:p w14:paraId="1876191F">
            <w:pPr>
              <w:spacing w:line="360" w:lineRule="auto"/>
              <w:contextualSpacing/>
              <w:jc w:val="center"/>
              <w:rPr>
                <w:rFonts w:hint="eastAsia" w:ascii="宋体" w:hAnsi="宋体" w:eastAsia="宋体" w:cs="仿宋_GB2312"/>
                <w:color w:val="auto"/>
                <w:sz w:val="24"/>
                <w:highlight w:val="none"/>
                <w:lang w:val="en-US" w:eastAsia="zh-CN"/>
              </w:rPr>
            </w:pPr>
            <w:r>
              <w:rPr>
                <w:rFonts w:ascii="宋体" w:hAnsi="宋体" w:cs="仿宋_GB2312"/>
                <w:color w:val="auto"/>
                <w:sz w:val="24"/>
                <w:highlight w:val="none"/>
              </w:rPr>
              <w:t>服务</w:t>
            </w:r>
            <w:r>
              <w:rPr>
                <w:rFonts w:hint="eastAsia" w:ascii="宋体" w:hAnsi="宋体" w:cs="仿宋_GB2312"/>
                <w:color w:val="auto"/>
                <w:sz w:val="24"/>
                <w:highlight w:val="none"/>
                <w:lang w:val="en-US" w:eastAsia="zh-CN"/>
              </w:rPr>
              <w:t>内容</w:t>
            </w:r>
          </w:p>
        </w:tc>
        <w:tc>
          <w:tcPr>
            <w:tcW w:w="3378" w:type="dxa"/>
            <w:tcBorders>
              <w:top w:val="single" w:color="auto" w:sz="4" w:space="0"/>
              <w:left w:val="single" w:color="auto" w:sz="4" w:space="0"/>
              <w:bottom w:val="single" w:color="auto" w:sz="4" w:space="0"/>
              <w:right w:val="single" w:color="auto" w:sz="4" w:space="0"/>
            </w:tcBorders>
            <w:vAlign w:val="center"/>
          </w:tcPr>
          <w:p w14:paraId="0F7B3FEC">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竞标报价</w:t>
            </w:r>
          </w:p>
        </w:tc>
        <w:tc>
          <w:tcPr>
            <w:tcW w:w="1184" w:type="dxa"/>
            <w:tcBorders>
              <w:top w:val="single" w:color="auto" w:sz="4" w:space="0"/>
              <w:left w:val="single" w:color="auto" w:sz="4" w:space="0"/>
              <w:bottom w:val="single" w:color="auto" w:sz="4" w:space="0"/>
              <w:right w:val="single" w:color="auto" w:sz="4" w:space="0"/>
            </w:tcBorders>
            <w:vAlign w:val="center"/>
          </w:tcPr>
          <w:p w14:paraId="064FF975">
            <w:pPr>
              <w:spacing w:line="360" w:lineRule="auto"/>
              <w:contextualSpacing/>
              <w:jc w:val="center"/>
              <w:rPr>
                <w:rFonts w:ascii="宋体" w:hAnsi="宋体" w:cs="仿宋_GB2312"/>
                <w:color w:val="auto"/>
                <w:sz w:val="24"/>
                <w:highlight w:val="none"/>
              </w:rPr>
            </w:pPr>
            <w:r>
              <w:rPr>
                <w:rFonts w:ascii="宋体" w:hAnsi="宋体" w:cs="仿宋_GB2312"/>
                <w:color w:val="auto"/>
                <w:sz w:val="24"/>
                <w:highlight w:val="none"/>
              </w:rPr>
              <w:t>备注</w:t>
            </w:r>
          </w:p>
        </w:tc>
      </w:tr>
      <w:tr w14:paraId="483D8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right"/>
        </w:trPr>
        <w:tc>
          <w:tcPr>
            <w:tcW w:w="587" w:type="dxa"/>
            <w:vMerge w:val="restart"/>
            <w:tcBorders>
              <w:top w:val="single" w:color="auto" w:sz="4" w:space="0"/>
              <w:left w:val="single" w:color="auto" w:sz="4" w:space="0"/>
              <w:right w:val="single" w:color="auto" w:sz="4" w:space="0"/>
            </w:tcBorders>
            <w:vAlign w:val="center"/>
          </w:tcPr>
          <w:p w14:paraId="5E2E4E99">
            <w:pPr>
              <w:spacing w:line="360" w:lineRule="auto"/>
              <w:contextualSpacing/>
              <w:jc w:val="center"/>
              <w:rPr>
                <w:rFonts w:ascii="宋体" w:hAnsi="宋体" w:cs="仿宋_GB2312"/>
                <w:color w:val="auto"/>
                <w:sz w:val="24"/>
                <w:highlight w:val="none"/>
              </w:rPr>
            </w:pPr>
            <w:r>
              <w:rPr>
                <w:rFonts w:ascii="宋体" w:hAnsi="宋体" w:cs="仿宋_GB2312"/>
                <w:color w:val="auto"/>
                <w:sz w:val="24"/>
                <w:highlight w:val="none"/>
              </w:rPr>
              <w:t>1</w:t>
            </w:r>
          </w:p>
        </w:tc>
        <w:tc>
          <w:tcPr>
            <w:tcW w:w="2117" w:type="dxa"/>
            <w:vMerge w:val="restart"/>
            <w:tcBorders>
              <w:top w:val="single" w:color="auto" w:sz="4" w:space="0"/>
              <w:left w:val="single" w:color="auto" w:sz="4" w:space="0"/>
              <w:right w:val="single" w:color="auto" w:sz="4" w:space="0"/>
            </w:tcBorders>
            <w:vAlign w:val="center"/>
          </w:tcPr>
          <w:p w14:paraId="0BCCAB8B">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高层住宅物业费</w:t>
            </w:r>
          </w:p>
        </w:tc>
        <w:tc>
          <w:tcPr>
            <w:tcW w:w="1829" w:type="dxa"/>
            <w:tcBorders>
              <w:top w:val="single" w:color="auto" w:sz="4" w:space="0"/>
              <w:left w:val="single" w:color="auto" w:sz="4" w:space="0"/>
              <w:bottom w:val="single" w:color="auto" w:sz="4" w:space="0"/>
              <w:right w:val="single" w:color="auto" w:sz="4" w:space="0"/>
            </w:tcBorders>
            <w:vAlign w:val="center"/>
          </w:tcPr>
          <w:p w14:paraId="2D3E7466">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一期报价</w:t>
            </w:r>
          </w:p>
        </w:tc>
        <w:tc>
          <w:tcPr>
            <w:tcW w:w="3378" w:type="dxa"/>
            <w:tcBorders>
              <w:top w:val="single" w:color="auto" w:sz="4" w:space="0"/>
              <w:left w:val="single" w:color="auto" w:sz="4" w:space="0"/>
              <w:bottom w:val="single" w:color="auto" w:sz="4" w:space="0"/>
              <w:right w:val="single" w:color="auto" w:sz="4" w:space="0"/>
            </w:tcBorders>
          </w:tcPr>
          <w:p w14:paraId="53DD9F6A">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元/月·平方米</w:t>
            </w:r>
          </w:p>
        </w:tc>
        <w:tc>
          <w:tcPr>
            <w:tcW w:w="1184" w:type="dxa"/>
            <w:tcBorders>
              <w:top w:val="single" w:color="auto" w:sz="4" w:space="0"/>
              <w:left w:val="single" w:color="auto" w:sz="4" w:space="0"/>
              <w:bottom w:val="single" w:color="auto" w:sz="4" w:space="0"/>
              <w:right w:val="single" w:color="auto" w:sz="4" w:space="0"/>
            </w:tcBorders>
            <w:vAlign w:val="center"/>
          </w:tcPr>
          <w:p w14:paraId="059DC6CA">
            <w:pPr>
              <w:spacing w:line="360" w:lineRule="auto"/>
              <w:contextualSpacing/>
              <w:rPr>
                <w:rFonts w:ascii="宋体" w:hAnsi="宋体" w:cs="仿宋_GB2312"/>
                <w:color w:val="auto"/>
                <w:sz w:val="24"/>
                <w:highlight w:val="none"/>
              </w:rPr>
            </w:pPr>
          </w:p>
        </w:tc>
      </w:tr>
      <w:tr w14:paraId="255AF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right"/>
        </w:trPr>
        <w:tc>
          <w:tcPr>
            <w:tcW w:w="587" w:type="dxa"/>
            <w:vMerge w:val="continue"/>
            <w:tcBorders>
              <w:left w:val="single" w:color="auto" w:sz="4" w:space="0"/>
              <w:bottom w:val="single" w:color="auto" w:sz="4" w:space="0"/>
              <w:right w:val="single" w:color="auto" w:sz="4" w:space="0"/>
            </w:tcBorders>
            <w:vAlign w:val="center"/>
          </w:tcPr>
          <w:p w14:paraId="3B721D9F">
            <w:pPr>
              <w:spacing w:line="360" w:lineRule="auto"/>
              <w:contextualSpacing/>
              <w:jc w:val="center"/>
              <w:rPr>
                <w:rFonts w:ascii="宋体" w:hAnsi="宋体" w:cs="仿宋_GB2312"/>
                <w:color w:val="auto"/>
                <w:sz w:val="24"/>
                <w:highlight w:val="none"/>
              </w:rPr>
            </w:pPr>
          </w:p>
        </w:tc>
        <w:tc>
          <w:tcPr>
            <w:tcW w:w="2117" w:type="dxa"/>
            <w:vMerge w:val="continue"/>
            <w:tcBorders>
              <w:left w:val="single" w:color="auto" w:sz="4" w:space="0"/>
              <w:bottom w:val="single" w:color="auto" w:sz="4" w:space="0"/>
              <w:right w:val="single" w:color="auto" w:sz="4" w:space="0"/>
            </w:tcBorders>
            <w:vAlign w:val="center"/>
          </w:tcPr>
          <w:p w14:paraId="23E71EDA">
            <w:pPr>
              <w:spacing w:line="360" w:lineRule="auto"/>
              <w:contextualSpacing/>
              <w:jc w:val="center"/>
              <w:rPr>
                <w:rFonts w:ascii="宋体" w:hAnsi="宋体" w:cs="仿宋_GB2312"/>
                <w:color w:val="auto"/>
                <w:sz w:val="24"/>
                <w:highlight w:val="none"/>
              </w:rPr>
            </w:pPr>
          </w:p>
        </w:tc>
        <w:tc>
          <w:tcPr>
            <w:tcW w:w="1829" w:type="dxa"/>
            <w:tcBorders>
              <w:top w:val="single" w:color="auto" w:sz="4" w:space="0"/>
              <w:left w:val="single" w:color="auto" w:sz="4" w:space="0"/>
              <w:bottom w:val="single" w:color="auto" w:sz="4" w:space="0"/>
              <w:right w:val="single" w:color="auto" w:sz="4" w:space="0"/>
            </w:tcBorders>
            <w:vAlign w:val="center"/>
          </w:tcPr>
          <w:p w14:paraId="6B62FE72">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二、三期报价</w:t>
            </w:r>
          </w:p>
        </w:tc>
        <w:tc>
          <w:tcPr>
            <w:tcW w:w="3378" w:type="dxa"/>
            <w:tcBorders>
              <w:top w:val="single" w:color="auto" w:sz="4" w:space="0"/>
              <w:left w:val="single" w:color="auto" w:sz="4" w:space="0"/>
              <w:bottom w:val="single" w:color="auto" w:sz="4" w:space="0"/>
              <w:right w:val="single" w:color="auto" w:sz="4" w:space="0"/>
            </w:tcBorders>
          </w:tcPr>
          <w:p w14:paraId="52252887">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元/月·平方米</w:t>
            </w:r>
          </w:p>
        </w:tc>
        <w:tc>
          <w:tcPr>
            <w:tcW w:w="1184" w:type="dxa"/>
            <w:tcBorders>
              <w:top w:val="single" w:color="auto" w:sz="4" w:space="0"/>
              <w:left w:val="single" w:color="auto" w:sz="4" w:space="0"/>
              <w:bottom w:val="single" w:color="auto" w:sz="4" w:space="0"/>
              <w:right w:val="single" w:color="auto" w:sz="4" w:space="0"/>
            </w:tcBorders>
            <w:vAlign w:val="center"/>
          </w:tcPr>
          <w:p w14:paraId="7690A01A">
            <w:pPr>
              <w:spacing w:line="360" w:lineRule="auto"/>
              <w:contextualSpacing/>
              <w:rPr>
                <w:rFonts w:ascii="宋体" w:hAnsi="宋体" w:cs="仿宋_GB2312"/>
                <w:color w:val="auto"/>
                <w:sz w:val="24"/>
                <w:highlight w:val="none"/>
              </w:rPr>
            </w:pPr>
          </w:p>
        </w:tc>
      </w:tr>
      <w:tr w14:paraId="59AB7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right"/>
        </w:trPr>
        <w:tc>
          <w:tcPr>
            <w:tcW w:w="587" w:type="dxa"/>
            <w:vMerge w:val="restart"/>
            <w:tcBorders>
              <w:top w:val="single" w:color="auto" w:sz="4" w:space="0"/>
              <w:left w:val="single" w:color="auto" w:sz="4" w:space="0"/>
              <w:right w:val="single" w:color="auto" w:sz="4" w:space="0"/>
            </w:tcBorders>
            <w:vAlign w:val="center"/>
          </w:tcPr>
          <w:p w14:paraId="0B2440DC">
            <w:pPr>
              <w:spacing w:line="360" w:lineRule="auto"/>
              <w:contextualSpacing/>
              <w:jc w:val="center"/>
              <w:rPr>
                <w:rFonts w:hint="eastAsia"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2</w:t>
            </w:r>
          </w:p>
        </w:tc>
        <w:tc>
          <w:tcPr>
            <w:tcW w:w="2117" w:type="dxa"/>
            <w:vMerge w:val="restart"/>
            <w:tcBorders>
              <w:top w:val="single" w:color="auto" w:sz="4" w:space="0"/>
              <w:left w:val="single" w:color="auto" w:sz="4" w:space="0"/>
              <w:bottom w:val="single" w:color="auto" w:sz="4" w:space="0"/>
              <w:right w:val="single" w:color="auto" w:sz="4" w:space="0"/>
            </w:tcBorders>
            <w:vAlign w:val="center"/>
          </w:tcPr>
          <w:p w14:paraId="78E9F629">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多层住宅物业费</w:t>
            </w:r>
          </w:p>
        </w:tc>
        <w:tc>
          <w:tcPr>
            <w:tcW w:w="1829" w:type="dxa"/>
            <w:tcBorders>
              <w:top w:val="single" w:color="auto" w:sz="4" w:space="0"/>
              <w:left w:val="single" w:color="auto" w:sz="4" w:space="0"/>
              <w:bottom w:val="single" w:color="auto" w:sz="4" w:space="0"/>
              <w:right w:val="single" w:color="auto" w:sz="4" w:space="0"/>
            </w:tcBorders>
            <w:vAlign w:val="center"/>
          </w:tcPr>
          <w:p w14:paraId="0AFEE8FC">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一期报价</w:t>
            </w:r>
          </w:p>
        </w:tc>
        <w:tc>
          <w:tcPr>
            <w:tcW w:w="3378" w:type="dxa"/>
            <w:tcBorders>
              <w:top w:val="single" w:color="auto" w:sz="4" w:space="0"/>
              <w:left w:val="single" w:color="auto" w:sz="4" w:space="0"/>
              <w:bottom w:val="single" w:color="auto" w:sz="4" w:space="0"/>
              <w:right w:val="single" w:color="auto" w:sz="4" w:space="0"/>
            </w:tcBorders>
            <w:vAlign w:val="top"/>
          </w:tcPr>
          <w:p w14:paraId="533C89FA">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元/月·平方米</w:t>
            </w:r>
          </w:p>
        </w:tc>
        <w:tc>
          <w:tcPr>
            <w:tcW w:w="1184" w:type="dxa"/>
            <w:tcBorders>
              <w:top w:val="single" w:color="auto" w:sz="4" w:space="0"/>
              <w:left w:val="single" w:color="auto" w:sz="4" w:space="0"/>
              <w:bottom w:val="single" w:color="auto" w:sz="4" w:space="0"/>
              <w:right w:val="single" w:color="auto" w:sz="4" w:space="0"/>
            </w:tcBorders>
            <w:vAlign w:val="center"/>
          </w:tcPr>
          <w:p w14:paraId="17CA2BB2">
            <w:pPr>
              <w:spacing w:line="360" w:lineRule="auto"/>
              <w:contextualSpacing/>
              <w:rPr>
                <w:rFonts w:ascii="宋体" w:hAnsi="宋体" w:cs="仿宋_GB2312"/>
                <w:color w:val="auto"/>
                <w:sz w:val="24"/>
                <w:highlight w:val="none"/>
              </w:rPr>
            </w:pPr>
          </w:p>
        </w:tc>
      </w:tr>
      <w:tr w14:paraId="690BF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right"/>
        </w:trPr>
        <w:tc>
          <w:tcPr>
            <w:tcW w:w="587" w:type="dxa"/>
            <w:vMerge w:val="continue"/>
            <w:tcBorders>
              <w:left w:val="single" w:color="auto" w:sz="4" w:space="0"/>
              <w:bottom w:val="single" w:color="auto" w:sz="4" w:space="0"/>
              <w:right w:val="single" w:color="auto" w:sz="4" w:space="0"/>
            </w:tcBorders>
            <w:vAlign w:val="center"/>
          </w:tcPr>
          <w:p w14:paraId="6323F06F">
            <w:pPr>
              <w:spacing w:line="360" w:lineRule="auto"/>
              <w:contextualSpacing/>
              <w:jc w:val="center"/>
              <w:rPr>
                <w:rFonts w:hint="eastAsia" w:ascii="宋体" w:hAnsi="宋体" w:eastAsia="宋体" w:cs="仿宋_GB2312"/>
                <w:color w:val="auto"/>
                <w:sz w:val="24"/>
                <w:highlight w:val="none"/>
                <w:lang w:val="en-US" w:eastAsia="zh-CN"/>
              </w:rPr>
            </w:pPr>
          </w:p>
        </w:tc>
        <w:tc>
          <w:tcPr>
            <w:tcW w:w="2117" w:type="dxa"/>
            <w:vMerge w:val="continue"/>
            <w:tcBorders>
              <w:top w:val="single" w:color="auto" w:sz="4" w:space="0"/>
              <w:left w:val="single" w:color="auto" w:sz="4" w:space="0"/>
              <w:bottom w:val="single" w:color="auto" w:sz="4" w:space="0"/>
              <w:right w:val="single" w:color="auto" w:sz="4" w:space="0"/>
            </w:tcBorders>
            <w:vAlign w:val="center"/>
          </w:tcPr>
          <w:p w14:paraId="1EFC6A54">
            <w:pPr>
              <w:spacing w:line="360" w:lineRule="auto"/>
              <w:contextualSpacing/>
              <w:jc w:val="center"/>
              <w:rPr>
                <w:rFonts w:ascii="宋体" w:hAnsi="宋体" w:cs="仿宋_GB2312"/>
                <w:color w:val="auto"/>
                <w:sz w:val="24"/>
                <w:highlight w:val="none"/>
              </w:rPr>
            </w:pPr>
          </w:p>
        </w:tc>
        <w:tc>
          <w:tcPr>
            <w:tcW w:w="1829" w:type="dxa"/>
            <w:tcBorders>
              <w:top w:val="single" w:color="auto" w:sz="4" w:space="0"/>
              <w:left w:val="single" w:color="auto" w:sz="4" w:space="0"/>
              <w:bottom w:val="single" w:color="auto" w:sz="4" w:space="0"/>
              <w:right w:val="single" w:color="auto" w:sz="4" w:space="0"/>
            </w:tcBorders>
            <w:vAlign w:val="center"/>
          </w:tcPr>
          <w:p w14:paraId="5F41024F">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二、三期报价</w:t>
            </w:r>
          </w:p>
        </w:tc>
        <w:tc>
          <w:tcPr>
            <w:tcW w:w="3378" w:type="dxa"/>
            <w:tcBorders>
              <w:top w:val="single" w:color="auto" w:sz="4" w:space="0"/>
              <w:left w:val="single" w:color="auto" w:sz="4" w:space="0"/>
              <w:bottom w:val="single" w:color="auto" w:sz="4" w:space="0"/>
              <w:right w:val="single" w:color="auto" w:sz="4" w:space="0"/>
            </w:tcBorders>
            <w:vAlign w:val="top"/>
          </w:tcPr>
          <w:p w14:paraId="488404CA">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元/月·平方米</w:t>
            </w:r>
          </w:p>
        </w:tc>
        <w:tc>
          <w:tcPr>
            <w:tcW w:w="1184" w:type="dxa"/>
            <w:tcBorders>
              <w:top w:val="single" w:color="auto" w:sz="4" w:space="0"/>
              <w:left w:val="single" w:color="auto" w:sz="4" w:space="0"/>
              <w:bottom w:val="single" w:color="auto" w:sz="4" w:space="0"/>
              <w:right w:val="single" w:color="auto" w:sz="4" w:space="0"/>
            </w:tcBorders>
            <w:vAlign w:val="center"/>
          </w:tcPr>
          <w:p w14:paraId="0A5C35C5">
            <w:pPr>
              <w:spacing w:line="360" w:lineRule="auto"/>
              <w:contextualSpacing/>
              <w:rPr>
                <w:rFonts w:ascii="宋体" w:hAnsi="宋体" w:cs="仿宋_GB2312"/>
                <w:color w:val="auto"/>
                <w:sz w:val="24"/>
                <w:highlight w:val="none"/>
              </w:rPr>
            </w:pPr>
          </w:p>
        </w:tc>
      </w:tr>
      <w:tr w14:paraId="27C56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587" w:type="dxa"/>
            <w:tcBorders>
              <w:top w:val="single" w:color="auto" w:sz="4" w:space="0"/>
              <w:left w:val="single" w:color="auto" w:sz="4" w:space="0"/>
              <w:bottom w:val="single" w:color="auto" w:sz="4" w:space="0"/>
              <w:right w:val="single" w:color="auto" w:sz="4" w:space="0"/>
            </w:tcBorders>
            <w:vAlign w:val="center"/>
          </w:tcPr>
          <w:p w14:paraId="6678F109">
            <w:pPr>
              <w:spacing w:line="360" w:lineRule="auto"/>
              <w:contextualSpacing/>
              <w:jc w:val="center"/>
              <w:rPr>
                <w:rFonts w:hint="eastAsia"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3</w:t>
            </w:r>
          </w:p>
        </w:tc>
        <w:tc>
          <w:tcPr>
            <w:tcW w:w="3946" w:type="dxa"/>
            <w:gridSpan w:val="2"/>
            <w:tcBorders>
              <w:top w:val="single" w:color="auto" w:sz="4" w:space="0"/>
              <w:left w:val="single" w:color="auto" w:sz="4" w:space="0"/>
              <w:bottom w:val="single" w:color="auto" w:sz="4" w:space="0"/>
              <w:right w:val="single" w:color="auto" w:sz="4" w:space="0"/>
            </w:tcBorders>
            <w:vAlign w:val="center"/>
          </w:tcPr>
          <w:p w14:paraId="2791A8DF">
            <w:pPr>
              <w:spacing w:line="360" w:lineRule="auto"/>
              <w:contextualSpacing/>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商业物业服务费（包含商铺、幼儿园、超市、会所等）</w:t>
            </w:r>
          </w:p>
        </w:tc>
        <w:tc>
          <w:tcPr>
            <w:tcW w:w="3378" w:type="dxa"/>
            <w:tcBorders>
              <w:top w:val="single" w:color="auto" w:sz="4" w:space="0"/>
              <w:left w:val="single" w:color="auto" w:sz="4" w:space="0"/>
              <w:bottom w:val="single" w:color="auto" w:sz="4" w:space="0"/>
              <w:right w:val="single" w:color="auto" w:sz="4" w:space="0"/>
            </w:tcBorders>
          </w:tcPr>
          <w:p w14:paraId="768011C3">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lang w:val="en-US" w:eastAsia="zh-CN"/>
              </w:rPr>
              <w:t>元/月·平方米</w:t>
            </w:r>
          </w:p>
        </w:tc>
        <w:tc>
          <w:tcPr>
            <w:tcW w:w="1184" w:type="dxa"/>
            <w:tcBorders>
              <w:top w:val="single" w:color="auto" w:sz="4" w:space="0"/>
              <w:left w:val="single" w:color="auto" w:sz="4" w:space="0"/>
              <w:bottom w:val="single" w:color="auto" w:sz="4" w:space="0"/>
              <w:right w:val="single" w:color="auto" w:sz="4" w:space="0"/>
            </w:tcBorders>
            <w:vAlign w:val="center"/>
          </w:tcPr>
          <w:p w14:paraId="280A4020">
            <w:pPr>
              <w:spacing w:line="360" w:lineRule="auto"/>
              <w:contextualSpacing/>
              <w:rPr>
                <w:rFonts w:ascii="宋体" w:hAnsi="宋体" w:cs="仿宋_GB2312"/>
                <w:color w:val="auto"/>
                <w:sz w:val="24"/>
                <w:highlight w:val="none"/>
              </w:rPr>
            </w:pPr>
          </w:p>
        </w:tc>
      </w:tr>
      <w:tr w14:paraId="5EAF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587" w:type="dxa"/>
            <w:tcBorders>
              <w:top w:val="single" w:color="auto" w:sz="4" w:space="0"/>
              <w:left w:val="single" w:color="auto" w:sz="4" w:space="0"/>
              <w:bottom w:val="single" w:color="auto" w:sz="4" w:space="0"/>
              <w:right w:val="single" w:color="auto" w:sz="4" w:space="0"/>
            </w:tcBorders>
            <w:vAlign w:val="center"/>
          </w:tcPr>
          <w:p w14:paraId="432727F5">
            <w:pPr>
              <w:spacing w:line="360" w:lineRule="auto"/>
              <w:contextualSpacing/>
              <w:jc w:val="center"/>
              <w:rPr>
                <w:rFonts w:hint="eastAsia"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4</w:t>
            </w:r>
          </w:p>
        </w:tc>
        <w:tc>
          <w:tcPr>
            <w:tcW w:w="3946" w:type="dxa"/>
            <w:gridSpan w:val="2"/>
            <w:tcBorders>
              <w:top w:val="single" w:color="auto" w:sz="4" w:space="0"/>
              <w:left w:val="single" w:color="auto" w:sz="4" w:space="0"/>
              <w:bottom w:val="single" w:color="auto" w:sz="4" w:space="0"/>
              <w:right w:val="single" w:color="auto" w:sz="4" w:space="0"/>
            </w:tcBorders>
            <w:vAlign w:val="center"/>
          </w:tcPr>
          <w:p w14:paraId="27956EEE">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电梯费</w:t>
            </w:r>
          </w:p>
        </w:tc>
        <w:tc>
          <w:tcPr>
            <w:tcW w:w="3378" w:type="dxa"/>
            <w:tcBorders>
              <w:top w:val="single" w:color="auto" w:sz="4" w:space="0"/>
              <w:left w:val="single" w:color="auto" w:sz="4" w:space="0"/>
              <w:bottom w:val="single" w:color="auto" w:sz="4" w:space="0"/>
              <w:right w:val="single" w:color="auto" w:sz="4" w:space="0"/>
            </w:tcBorders>
          </w:tcPr>
          <w:p w14:paraId="61CFF168">
            <w:pPr>
              <w:spacing w:line="360" w:lineRule="auto"/>
              <w:contextualSpacing/>
              <w:jc w:val="center"/>
              <w:rPr>
                <w:rFonts w:hint="default" w:ascii="宋体" w:hAnsi="宋体" w:cs="仿宋_GB2312"/>
                <w:color w:val="auto"/>
                <w:sz w:val="24"/>
                <w:highlight w:val="none"/>
                <w:lang w:val="en-US"/>
              </w:rPr>
            </w:pPr>
            <w:r>
              <w:rPr>
                <w:rFonts w:hint="eastAsia" w:ascii="宋体" w:hAnsi="宋体" w:cs="仿宋_GB2312"/>
                <w:color w:val="auto"/>
                <w:sz w:val="24"/>
                <w:highlight w:val="none"/>
                <w:lang w:val="en-US" w:eastAsia="zh-CN"/>
              </w:rPr>
              <w:t>元/月/户</w:t>
            </w:r>
          </w:p>
        </w:tc>
        <w:tc>
          <w:tcPr>
            <w:tcW w:w="1184" w:type="dxa"/>
            <w:tcBorders>
              <w:top w:val="single" w:color="auto" w:sz="4" w:space="0"/>
              <w:left w:val="single" w:color="auto" w:sz="4" w:space="0"/>
              <w:bottom w:val="single" w:color="auto" w:sz="4" w:space="0"/>
              <w:right w:val="single" w:color="auto" w:sz="4" w:space="0"/>
            </w:tcBorders>
            <w:vAlign w:val="center"/>
          </w:tcPr>
          <w:p w14:paraId="354D7F0A">
            <w:pPr>
              <w:spacing w:line="360" w:lineRule="auto"/>
              <w:contextualSpacing/>
              <w:rPr>
                <w:rFonts w:ascii="宋体" w:hAnsi="宋体" w:cs="仿宋_GB2312"/>
                <w:color w:val="auto"/>
                <w:sz w:val="24"/>
                <w:highlight w:val="none"/>
              </w:rPr>
            </w:pPr>
          </w:p>
        </w:tc>
      </w:tr>
      <w:tr w14:paraId="500F7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587" w:type="dxa"/>
            <w:tcBorders>
              <w:top w:val="single" w:color="auto" w:sz="4" w:space="0"/>
              <w:left w:val="single" w:color="auto" w:sz="4" w:space="0"/>
              <w:bottom w:val="single" w:color="auto" w:sz="4" w:space="0"/>
              <w:right w:val="single" w:color="auto" w:sz="4" w:space="0"/>
            </w:tcBorders>
            <w:vAlign w:val="center"/>
          </w:tcPr>
          <w:p w14:paraId="5DB99FC0">
            <w:pPr>
              <w:spacing w:line="360" w:lineRule="auto"/>
              <w:contextualSpacing/>
              <w:jc w:val="center"/>
              <w:rPr>
                <w:rFonts w:hint="eastAsia"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5</w:t>
            </w:r>
          </w:p>
        </w:tc>
        <w:tc>
          <w:tcPr>
            <w:tcW w:w="3946" w:type="dxa"/>
            <w:gridSpan w:val="2"/>
            <w:tcBorders>
              <w:top w:val="single" w:color="auto" w:sz="4" w:space="0"/>
              <w:left w:val="single" w:color="auto" w:sz="4" w:space="0"/>
              <w:bottom w:val="single" w:color="auto" w:sz="4" w:space="0"/>
              <w:right w:val="single" w:color="auto" w:sz="4" w:space="0"/>
            </w:tcBorders>
            <w:vAlign w:val="center"/>
          </w:tcPr>
          <w:p w14:paraId="668D4C33">
            <w:pPr>
              <w:spacing w:line="360" w:lineRule="auto"/>
              <w:contextualSpacing/>
              <w:jc w:val="center"/>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地下车库物业费</w:t>
            </w:r>
          </w:p>
        </w:tc>
        <w:tc>
          <w:tcPr>
            <w:tcW w:w="3378" w:type="dxa"/>
            <w:tcBorders>
              <w:top w:val="single" w:color="auto" w:sz="4" w:space="0"/>
              <w:left w:val="single" w:color="auto" w:sz="4" w:space="0"/>
              <w:bottom w:val="single" w:color="auto" w:sz="4" w:space="0"/>
              <w:right w:val="single" w:color="auto" w:sz="4" w:space="0"/>
            </w:tcBorders>
          </w:tcPr>
          <w:p w14:paraId="59328804">
            <w:pPr>
              <w:spacing w:line="360" w:lineRule="auto"/>
              <w:contextualSpacing/>
              <w:jc w:val="center"/>
              <w:rPr>
                <w:rFonts w:hint="default" w:ascii="宋体" w:hAnsi="宋体" w:cs="仿宋_GB2312"/>
                <w:color w:val="auto"/>
                <w:sz w:val="24"/>
                <w:highlight w:val="none"/>
                <w:lang w:val="en-US"/>
              </w:rPr>
            </w:pPr>
            <w:r>
              <w:rPr>
                <w:rFonts w:hint="eastAsia" w:ascii="宋体" w:hAnsi="宋体" w:cs="仿宋_GB2312"/>
                <w:color w:val="auto"/>
                <w:sz w:val="24"/>
                <w:highlight w:val="none"/>
                <w:lang w:val="en-US" w:eastAsia="zh-CN"/>
              </w:rPr>
              <w:t>元/月/车位</w:t>
            </w:r>
          </w:p>
        </w:tc>
        <w:tc>
          <w:tcPr>
            <w:tcW w:w="1184" w:type="dxa"/>
            <w:tcBorders>
              <w:top w:val="single" w:color="auto" w:sz="4" w:space="0"/>
              <w:left w:val="single" w:color="auto" w:sz="4" w:space="0"/>
              <w:bottom w:val="single" w:color="auto" w:sz="4" w:space="0"/>
              <w:right w:val="single" w:color="auto" w:sz="4" w:space="0"/>
            </w:tcBorders>
            <w:vAlign w:val="center"/>
          </w:tcPr>
          <w:p w14:paraId="1D9F98CC">
            <w:pPr>
              <w:spacing w:line="360" w:lineRule="auto"/>
              <w:contextualSpacing/>
              <w:rPr>
                <w:rFonts w:ascii="宋体" w:hAnsi="宋体" w:cs="仿宋_GB2312"/>
                <w:color w:val="auto"/>
                <w:sz w:val="24"/>
                <w:highlight w:val="none"/>
              </w:rPr>
            </w:pPr>
          </w:p>
        </w:tc>
      </w:tr>
      <w:tr w14:paraId="57B9D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9095" w:type="dxa"/>
            <w:gridSpan w:val="5"/>
            <w:tcBorders>
              <w:top w:val="single" w:color="auto" w:sz="4" w:space="0"/>
              <w:left w:val="single" w:color="auto" w:sz="4" w:space="0"/>
              <w:bottom w:val="single" w:color="auto" w:sz="4" w:space="0"/>
              <w:right w:val="single" w:color="auto" w:sz="4" w:space="0"/>
            </w:tcBorders>
            <w:vAlign w:val="center"/>
          </w:tcPr>
          <w:p w14:paraId="0669D9A6">
            <w:pPr>
              <w:spacing w:line="360" w:lineRule="auto"/>
              <w:contextualSpacing/>
              <w:rPr>
                <w:rFonts w:hint="default" w:ascii="宋体" w:hAnsi="宋体" w:eastAsia="宋体" w:cs="仿宋_GB2312"/>
                <w:color w:val="auto"/>
                <w:sz w:val="24"/>
                <w:highlight w:val="none"/>
                <w:lang w:val="en-US" w:eastAsia="zh-CN"/>
              </w:rPr>
            </w:pPr>
            <w:r>
              <w:rPr>
                <w:rFonts w:hint="eastAsia" w:ascii="宋体" w:hAnsi="宋体" w:cs="仿宋_GB2312"/>
                <w:color w:val="auto"/>
                <w:sz w:val="24"/>
                <w:highlight w:val="none"/>
                <w:lang w:val="en-US" w:eastAsia="zh-CN"/>
              </w:rPr>
              <w:t>合同履行期限：</w:t>
            </w:r>
          </w:p>
        </w:tc>
      </w:tr>
    </w:tbl>
    <w:p w14:paraId="35D751AF">
      <w:pPr>
        <w:spacing w:line="360" w:lineRule="auto"/>
        <w:contextualSpacing/>
        <w:jc w:val="left"/>
        <w:rPr>
          <w:rFonts w:ascii="宋体" w:hAnsi="宋体" w:cs="仿宋_GB2312"/>
          <w:color w:val="auto"/>
          <w:sz w:val="24"/>
          <w:highlight w:val="none"/>
        </w:rPr>
      </w:pPr>
    </w:p>
    <w:p w14:paraId="0488B76A">
      <w:pPr>
        <w:spacing w:line="360" w:lineRule="auto"/>
        <w:contextualSpacing/>
        <w:jc w:val="left"/>
        <w:rPr>
          <w:rFonts w:ascii="宋体" w:hAnsi="宋体" w:cs="仿宋_GB2312"/>
          <w:color w:val="auto"/>
          <w:sz w:val="24"/>
          <w:highlight w:val="none"/>
        </w:rPr>
      </w:pPr>
      <w:r>
        <w:rPr>
          <w:rFonts w:hint="eastAsia" w:ascii="宋体" w:hAnsi="宋体" w:cs="仿宋_GB2312"/>
          <w:color w:val="auto"/>
          <w:sz w:val="24"/>
          <w:highlight w:val="none"/>
        </w:rPr>
        <w:t xml:space="preserve">注: </w:t>
      </w:r>
    </w:p>
    <w:p w14:paraId="0BF11854">
      <w:pPr>
        <w:spacing w:line="360" w:lineRule="auto"/>
        <w:ind w:firstLine="480" w:firstLineChars="200"/>
        <w:contextualSpacing/>
        <w:jc w:val="left"/>
        <w:rPr>
          <w:rFonts w:ascii="宋体" w:hAnsi="宋体" w:cs="仿宋_GB2312"/>
          <w:color w:val="auto"/>
          <w:sz w:val="24"/>
          <w:highlight w:val="none"/>
        </w:rPr>
      </w:pPr>
      <w:r>
        <w:rPr>
          <w:rFonts w:hint="eastAsia" w:ascii="宋体" w:hAnsi="宋体" w:cs="仿宋_GB2312"/>
          <w:color w:val="auto"/>
          <w:sz w:val="24"/>
          <w:highlight w:val="none"/>
        </w:rPr>
        <w:t>1.供应商的报价表必须加盖供应商公章并由法定代表人或者委托代理人签字，</w:t>
      </w:r>
      <w:r>
        <w:rPr>
          <w:rFonts w:hint="eastAsia" w:ascii="宋体" w:hAnsi="宋体" w:cs="仿宋_GB2312"/>
          <w:b/>
          <w:color w:val="auto"/>
          <w:sz w:val="24"/>
          <w:highlight w:val="none"/>
        </w:rPr>
        <w:t>否则其响应文件按无效响应处理</w:t>
      </w:r>
      <w:r>
        <w:rPr>
          <w:rFonts w:hint="eastAsia" w:ascii="宋体" w:hAnsi="宋体" w:cs="仿宋_GB2312"/>
          <w:color w:val="auto"/>
          <w:sz w:val="24"/>
          <w:highlight w:val="none"/>
        </w:rPr>
        <w:t>。</w:t>
      </w:r>
    </w:p>
    <w:p w14:paraId="3B3F188C">
      <w:pPr>
        <w:spacing w:line="360" w:lineRule="auto"/>
        <w:ind w:firstLine="480" w:firstLineChars="200"/>
        <w:contextualSpacing/>
        <w:jc w:val="left"/>
        <w:rPr>
          <w:rFonts w:ascii="宋体" w:hAnsi="宋体" w:cs="仿宋_GB2312"/>
          <w:b/>
          <w:color w:val="auto"/>
          <w:sz w:val="24"/>
          <w:highlight w:val="none"/>
        </w:rPr>
      </w:pPr>
      <w:r>
        <w:rPr>
          <w:rFonts w:hint="eastAsia" w:ascii="宋体" w:hAnsi="宋体" w:cs="仿宋_GB2312"/>
          <w:bCs/>
          <w:color w:val="auto"/>
          <w:sz w:val="24"/>
          <w:highlight w:val="none"/>
        </w:rPr>
        <w:t>2.</w:t>
      </w:r>
      <w:r>
        <w:rPr>
          <w:rFonts w:hint="eastAsia" w:ascii="宋体" w:hAnsi="宋体" w:cs="仿宋_GB2312"/>
          <w:color w:val="auto"/>
          <w:sz w:val="24"/>
          <w:highlight w:val="none"/>
        </w:rPr>
        <w:t>报价一经涂改，应在涂改处加盖供应商公章或者由法定代表人或者委托代理人签字或者盖章</w:t>
      </w:r>
      <w:r>
        <w:rPr>
          <w:rFonts w:hint="eastAsia" w:ascii="宋体" w:hAnsi="宋体" w:cs="仿宋_GB2312"/>
          <w:b/>
          <w:color w:val="auto"/>
          <w:sz w:val="24"/>
          <w:highlight w:val="none"/>
        </w:rPr>
        <w:t>，否则其响应文件按无效响应处理。</w:t>
      </w:r>
    </w:p>
    <w:p w14:paraId="7E9D7804">
      <w:pPr>
        <w:spacing w:line="360" w:lineRule="auto"/>
        <w:ind w:firstLine="480" w:firstLineChars="200"/>
        <w:contextualSpacing/>
        <w:jc w:val="left"/>
        <w:rPr>
          <w:rFonts w:ascii="宋体" w:hAnsi="宋体" w:cs="仿宋_GB2312"/>
          <w:color w:val="auto"/>
          <w:sz w:val="24"/>
          <w:highlight w:val="none"/>
        </w:rPr>
      </w:pPr>
      <w:r>
        <w:rPr>
          <w:rFonts w:ascii="宋体" w:hAnsi="宋体" w:cs="仿宋_GB2312"/>
          <w:color w:val="auto"/>
          <w:sz w:val="24"/>
          <w:highlight w:val="none"/>
        </w:rPr>
        <w:t>3</w:t>
      </w:r>
      <w:r>
        <w:rPr>
          <w:rFonts w:hint="eastAsia" w:ascii="宋体" w:hAnsi="宋体" w:cs="仿宋_GB2312"/>
          <w:color w:val="auto"/>
          <w:sz w:val="24"/>
          <w:highlight w:val="none"/>
        </w:rPr>
        <w:t>.如为联合体竞标，“供应商名称”处必须列明联合体各方名称，标注联合体牵头人名称，</w:t>
      </w:r>
      <w:r>
        <w:rPr>
          <w:rFonts w:hint="eastAsia" w:ascii="宋体" w:hAnsi="宋体" w:cs="仿宋_GB2312"/>
          <w:b/>
          <w:color w:val="auto"/>
          <w:sz w:val="24"/>
          <w:highlight w:val="none"/>
        </w:rPr>
        <w:t>否则其响应文件按无效响应处理。（采购人可根据项目情况自行修改是否需要联合体各方签字盖章）。</w:t>
      </w:r>
    </w:p>
    <w:p w14:paraId="7A122464">
      <w:pPr>
        <w:spacing w:line="360" w:lineRule="auto"/>
        <w:ind w:firstLine="480" w:firstLineChars="200"/>
        <w:contextualSpacing/>
        <w:jc w:val="left"/>
        <w:rPr>
          <w:rFonts w:ascii="宋体" w:hAnsi="宋体" w:cs="仿宋_GB2312"/>
          <w:color w:val="auto"/>
          <w:sz w:val="24"/>
          <w:highlight w:val="none"/>
        </w:rPr>
      </w:pPr>
      <w:r>
        <w:rPr>
          <w:rFonts w:ascii="宋体" w:hAnsi="宋体" w:cs="仿宋_GB2312"/>
          <w:color w:val="auto"/>
          <w:sz w:val="24"/>
          <w:highlight w:val="none"/>
        </w:rPr>
        <w:t>4</w:t>
      </w:r>
      <w:r>
        <w:rPr>
          <w:rFonts w:hint="eastAsia" w:ascii="宋体" w:hAnsi="宋体" w:cs="仿宋_GB2312"/>
          <w:color w:val="auto"/>
          <w:sz w:val="24"/>
          <w:highlight w:val="none"/>
        </w:rPr>
        <w:t>.如为联合体竞标，盖章处须加盖联合体各方公章，</w:t>
      </w:r>
      <w:bookmarkStart w:id="95" w:name="_Hlk65851776"/>
      <w:r>
        <w:rPr>
          <w:rFonts w:hint="eastAsia" w:ascii="宋体" w:hAnsi="宋体" w:cs="仿宋_GB2312"/>
          <w:b/>
          <w:color w:val="auto"/>
          <w:sz w:val="24"/>
          <w:highlight w:val="none"/>
        </w:rPr>
        <w:t>否则其响应文件按无效响应处理。</w:t>
      </w:r>
      <w:bookmarkEnd w:id="95"/>
      <w:r>
        <w:rPr>
          <w:rFonts w:hint="eastAsia" w:ascii="宋体" w:hAnsi="宋体" w:cs="仿宋_GB2312"/>
          <w:b/>
          <w:color w:val="auto"/>
          <w:sz w:val="24"/>
          <w:highlight w:val="none"/>
        </w:rPr>
        <w:t>（采购人可根据项目情况自行修改是否需要联合体各方签字盖章）。</w:t>
      </w:r>
    </w:p>
    <w:p w14:paraId="250B02BF">
      <w:pPr>
        <w:spacing w:line="360" w:lineRule="auto"/>
        <w:ind w:firstLine="480" w:firstLineChars="200"/>
        <w:contextualSpacing/>
        <w:rPr>
          <w:rFonts w:ascii="宋体" w:hAnsi="宋体" w:cs="仿宋_GB2312"/>
          <w:color w:val="auto"/>
          <w:sz w:val="24"/>
          <w:highlight w:val="none"/>
        </w:rPr>
      </w:pPr>
      <w:r>
        <w:rPr>
          <w:rFonts w:ascii="宋体" w:hAnsi="宋体" w:cs="仿宋_GB2312"/>
          <w:color w:val="auto"/>
          <w:sz w:val="24"/>
          <w:highlight w:val="none"/>
        </w:rPr>
        <w:t>5</w:t>
      </w:r>
      <w:r>
        <w:rPr>
          <w:rFonts w:hint="eastAsia" w:ascii="宋体" w:hAnsi="宋体" w:cs="仿宋_GB2312"/>
          <w:color w:val="auto"/>
          <w:sz w:val="24"/>
          <w:highlight w:val="none"/>
        </w:rPr>
        <w:t>.</w:t>
      </w:r>
      <w:r>
        <w:rPr>
          <w:rFonts w:hint="eastAsia" w:ascii="宋体" w:hAnsi="宋体" w:cs="仿宋_GB2312"/>
          <w:color w:val="auto"/>
          <w:spacing w:val="-6"/>
          <w:sz w:val="24"/>
          <w:highlight w:val="none"/>
        </w:rPr>
        <w:t>如有多分标，分别列明各分标的报价表，</w:t>
      </w:r>
      <w:r>
        <w:rPr>
          <w:rFonts w:hint="eastAsia" w:ascii="宋体" w:hAnsi="宋体" w:cs="仿宋_GB2312"/>
          <w:b/>
          <w:color w:val="auto"/>
          <w:spacing w:val="-6"/>
          <w:sz w:val="24"/>
          <w:highlight w:val="none"/>
        </w:rPr>
        <w:t>否则其响应文件按无效响应处理。</w:t>
      </w:r>
    </w:p>
    <w:p w14:paraId="32751AF3">
      <w:pPr>
        <w:spacing w:line="360" w:lineRule="auto"/>
        <w:ind w:right="-817" w:rightChars="-389"/>
        <w:contextualSpacing/>
        <w:rPr>
          <w:rFonts w:ascii="宋体" w:hAnsi="宋体" w:cs="仿宋_GB2312"/>
          <w:color w:val="auto"/>
          <w:sz w:val="24"/>
          <w:highlight w:val="none"/>
        </w:rPr>
      </w:pPr>
    </w:p>
    <w:p w14:paraId="5197B3A5">
      <w:pPr>
        <w:spacing w:line="360" w:lineRule="auto"/>
        <w:ind w:right="-817" w:rightChars="-389" w:firstLine="960" w:firstLineChars="400"/>
        <w:contextualSpacing/>
        <w:rPr>
          <w:rFonts w:ascii="宋体" w:hAnsi="宋体" w:cs="仿宋_GB2312"/>
          <w:color w:val="auto"/>
          <w:sz w:val="24"/>
          <w:highlight w:val="none"/>
        </w:rPr>
      </w:pPr>
      <w:r>
        <w:rPr>
          <w:rFonts w:hint="eastAsia" w:ascii="宋体" w:hAnsi="宋体" w:cs="仿宋_GB2312"/>
          <w:color w:val="auto"/>
          <w:sz w:val="24"/>
          <w:highlight w:val="none"/>
        </w:rPr>
        <w:t xml:space="preserve">法定代表人或者委托代理人（签字）：                    </w:t>
      </w:r>
    </w:p>
    <w:p w14:paraId="43D392D7">
      <w:pPr>
        <w:spacing w:line="360" w:lineRule="auto"/>
        <w:ind w:right="-817" w:rightChars="-389" w:firstLine="2640" w:firstLineChars="11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供应商（盖公章）：      </w:t>
      </w:r>
    </w:p>
    <w:p w14:paraId="26B50A0A">
      <w:pPr>
        <w:spacing w:line="360" w:lineRule="auto"/>
        <w:ind w:right="-817" w:rightChars="-389" w:firstLine="4080" w:firstLineChars="1700"/>
        <w:contextualSpacing/>
        <w:rPr>
          <w:rFonts w:ascii="宋体" w:hAnsi="宋体" w:cs="仿宋_GB2312"/>
          <w:b/>
          <w:color w:val="auto"/>
          <w:sz w:val="24"/>
          <w:highlight w:val="none"/>
        </w:rPr>
      </w:pPr>
      <w:r>
        <w:rPr>
          <w:rFonts w:hint="eastAsia" w:ascii="宋体" w:hAnsi="宋体" w:cs="仿宋_GB2312"/>
          <w:color w:val="auto"/>
          <w:sz w:val="24"/>
          <w:highlight w:val="none"/>
        </w:rPr>
        <w:t>日期：   年   月   日</w:t>
      </w:r>
    </w:p>
    <w:p w14:paraId="0A4EE380">
      <w:pPr>
        <w:spacing w:before="312" w:beforeLines="100" w:after="156" w:afterLines="50" w:line="520" w:lineRule="exact"/>
        <w:ind w:left="540"/>
        <w:jc w:val="center"/>
        <w:rPr>
          <w:rFonts w:ascii="仿宋_GB2312" w:hAnsi="仿宋_GB2312" w:eastAsia="仿宋_GB2312" w:cs="仿宋_GB2312"/>
          <w:color w:val="auto"/>
          <w:sz w:val="32"/>
          <w:szCs w:val="32"/>
          <w:highlight w:val="none"/>
        </w:rPr>
      </w:pPr>
      <w:r>
        <w:rPr>
          <w:rFonts w:hint="eastAsia" w:ascii="宋体" w:hAnsi="Courier New"/>
          <w:b/>
          <w:color w:val="auto"/>
          <w:sz w:val="32"/>
          <w:szCs w:val="32"/>
          <w:highlight w:val="none"/>
        </w:rPr>
        <w:br w:type="page"/>
      </w:r>
      <w:r>
        <w:rPr>
          <w:rFonts w:hint="eastAsia" w:ascii="方正小标宋简体" w:hAnsi="方正小标宋简体" w:eastAsia="方正小标宋简体" w:cs="方正小标宋简体"/>
          <w:bCs/>
          <w:color w:val="auto"/>
          <w:sz w:val="44"/>
          <w:szCs w:val="44"/>
          <w:highlight w:val="none"/>
        </w:rPr>
        <w:t>法定代表人证明书</w:t>
      </w:r>
    </w:p>
    <w:p w14:paraId="0F7A4C04">
      <w:pPr>
        <w:spacing w:line="360" w:lineRule="auto"/>
        <w:ind w:left="540"/>
        <w:contextualSpacing/>
        <w:rPr>
          <w:rFonts w:ascii="仿宋_GB2312" w:hAnsi="仿宋_GB2312" w:eastAsia="仿宋_GB2312" w:cs="仿宋_GB2312"/>
          <w:color w:val="auto"/>
          <w:sz w:val="32"/>
          <w:szCs w:val="32"/>
          <w:highlight w:val="none"/>
        </w:rPr>
      </w:pPr>
    </w:p>
    <w:p w14:paraId="61C2F6DD">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供应商名称：</w:t>
      </w:r>
      <w:r>
        <w:rPr>
          <w:rFonts w:hint="eastAsia" w:ascii="宋体" w:hAnsi="宋体" w:cs="仿宋_GB2312"/>
          <w:color w:val="auto"/>
          <w:sz w:val="24"/>
          <w:highlight w:val="none"/>
          <w:u w:val="single"/>
        </w:rPr>
        <w:t xml:space="preserve">                                                        </w:t>
      </w:r>
    </w:p>
    <w:p w14:paraId="0F856C15">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地    址：</w:t>
      </w:r>
      <w:r>
        <w:rPr>
          <w:rFonts w:hint="eastAsia" w:ascii="宋体" w:hAnsi="宋体" w:cs="仿宋_GB2312"/>
          <w:color w:val="auto"/>
          <w:sz w:val="24"/>
          <w:highlight w:val="none"/>
          <w:u w:val="single"/>
        </w:rPr>
        <w:t xml:space="preserve">                                                        </w:t>
      </w:r>
    </w:p>
    <w:p w14:paraId="0C901568">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姓    名：</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性     别：</w:t>
      </w:r>
      <w:r>
        <w:rPr>
          <w:rFonts w:hint="eastAsia" w:ascii="宋体" w:hAnsi="宋体" w:cs="仿宋_GB2312"/>
          <w:color w:val="auto"/>
          <w:sz w:val="24"/>
          <w:highlight w:val="none"/>
          <w:u w:val="single"/>
        </w:rPr>
        <w:t xml:space="preserve">                </w:t>
      </w:r>
    </w:p>
    <w:p w14:paraId="0E91FDF7">
      <w:pPr>
        <w:spacing w:line="360" w:lineRule="auto"/>
        <w:ind w:left="540"/>
        <w:contextualSpacing/>
        <w:rPr>
          <w:rFonts w:ascii="宋体" w:hAnsi="宋体" w:cs="仿宋_GB2312"/>
          <w:color w:val="auto"/>
          <w:sz w:val="24"/>
          <w:highlight w:val="none"/>
          <w:u w:val="single"/>
        </w:rPr>
      </w:pPr>
      <w:r>
        <w:rPr>
          <w:rFonts w:hint="eastAsia" w:ascii="宋体" w:hAnsi="宋体" w:cs="仿宋_GB2312"/>
          <w:color w:val="auto"/>
          <w:sz w:val="24"/>
          <w:highlight w:val="none"/>
        </w:rPr>
        <w:t>年    龄：</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职     务：</w:t>
      </w:r>
      <w:r>
        <w:rPr>
          <w:rFonts w:hint="eastAsia" w:ascii="宋体" w:hAnsi="宋体" w:cs="仿宋_GB2312"/>
          <w:color w:val="auto"/>
          <w:sz w:val="24"/>
          <w:highlight w:val="none"/>
          <w:u w:val="single"/>
        </w:rPr>
        <w:t xml:space="preserve">                </w:t>
      </w:r>
    </w:p>
    <w:p w14:paraId="11C8B5A4">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身份证号码：</w:t>
      </w:r>
      <w:r>
        <w:rPr>
          <w:rFonts w:hint="eastAsia" w:ascii="宋体" w:hAnsi="宋体" w:cs="仿宋_GB2312"/>
          <w:color w:val="auto"/>
          <w:sz w:val="24"/>
          <w:highlight w:val="none"/>
          <w:u w:val="single"/>
        </w:rPr>
        <w:t xml:space="preserve">                                        </w:t>
      </w:r>
    </w:p>
    <w:p w14:paraId="5BECFDF0">
      <w:pPr>
        <w:spacing w:line="360" w:lineRule="auto"/>
        <w:ind w:firstLine="480" w:firstLineChars="200"/>
        <w:contextualSpacing/>
        <w:rPr>
          <w:rFonts w:ascii="宋体" w:hAnsi="宋体" w:cs="仿宋_GB2312"/>
          <w:color w:val="auto"/>
          <w:sz w:val="24"/>
          <w:highlight w:val="none"/>
        </w:rPr>
      </w:pPr>
      <w:r>
        <w:rPr>
          <w:rFonts w:hint="eastAsia" w:ascii="宋体" w:hAnsi="宋体" w:cs="仿宋_GB2312"/>
          <w:color w:val="auto"/>
          <w:sz w:val="24"/>
          <w:highlight w:val="none"/>
        </w:rPr>
        <w:t>系</w:t>
      </w:r>
      <w:r>
        <w:rPr>
          <w:rFonts w:hint="eastAsia" w:ascii="宋体" w:hAnsi="宋体" w:cs="仿宋_GB2312"/>
          <w:color w:val="auto"/>
          <w:sz w:val="24"/>
          <w:highlight w:val="none"/>
          <w:u w:val="single"/>
        </w:rPr>
        <w:t>（供应商名称）</w:t>
      </w:r>
      <w:r>
        <w:rPr>
          <w:rFonts w:hint="eastAsia" w:ascii="宋体" w:hAnsi="宋体" w:cs="仿宋_GB2312"/>
          <w:color w:val="auto"/>
          <w:sz w:val="24"/>
          <w:highlight w:val="none"/>
        </w:rPr>
        <w:t>的法定代表人。</w:t>
      </w:r>
    </w:p>
    <w:p w14:paraId="2DD6C438">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特此证明。</w:t>
      </w:r>
    </w:p>
    <w:p w14:paraId="23325EA1">
      <w:pPr>
        <w:spacing w:line="360" w:lineRule="auto"/>
        <w:ind w:left="540"/>
        <w:contextualSpacing/>
        <w:rPr>
          <w:rFonts w:ascii="宋体" w:hAnsi="宋体" w:cs="仿宋_GB2312"/>
          <w:color w:val="auto"/>
          <w:sz w:val="24"/>
          <w:highlight w:val="none"/>
        </w:rPr>
      </w:pPr>
    </w:p>
    <w:p w14:paraId="5E650880">
      <w:pPr>
        <w:spacing w:line="360" w:lineRule="auto"/>
        <w:ind w:left="540"/>
        <w:contextualSpacing/>
        <w:rPr>
          <w:rFonts w:ascii="宋体" w:hAnsi="宋体" w:cs="仿宋_GB2312"/>
          <w:color w:val="auto"/>
          <w:sz w:val="24"/>
          <w:highlight w:val="none"/>
        </w:rPr>
      </w:pPr>
    </w:p>
    <w:p w14:paraId="6503F150">
      <w:pPr>
        <w:spacing w:line="360" w:lineRule="auto"/>
        <w:ind w:left="540"/>
        <w:contextualSpacing/>
        <w:rPr>
          <w:rFonts w:ascii="宋体" w:hAnsi="宋体" w:cs="仿宋_GB2312"/>
          <w:color w:val="auto"/>
          <w:sz w:val="24"/>
          <w:highlight w:val="none"/>
        </w:rPr>
      </w:pPr>
    </w:p>
    <w:p w14:paraId="634D6998">
      <w:pPr>
        <w:spacing w:line="360" w:lineRule="auto"/>
        <w:ind w:left="540"/>
        <w:contextualSpacing/>
        <w:rPr>
          <w:rFonts w:ascii="宋体" w:hAnsi="宋体" w:cs="仿宋_GB2312"/>
          <w:color w:val="auto"/>
          <w:sz w:val="24"/>
          <w:highlight w:val="none"/>
        </w:rPr>
      </w:pPr>
      <w:r>
        <w:rPr>
          <w:rFonts w:hint="eastAsia" w:ascii="宋体" w:hAnsi="宋体" w:cs="仿宋_GB2312"/>
          <w:color w:val="auto"/>
          <w:sz w:val="24"/>
          <w:highlight w:val="none"/>
        </w:rPr>
        <w:t>附件：法定代表人有效身份证正反面复印件</w:t>
      </w:r>
    </w:p>
    <w:p w14:paraId="2BD8DCC3">
      <w:pPr>
        <w:spacing w:line="360" w:lineRule="auto"/>
        <w:ind w:left="540"/>
        <w:contextualSpacing/>
        <w:rPr>
          <w:rFonts w:ascii="宋体" w:hAnsi="宋体" w:cs="仿宋_GB2312"/>
          <w:color w:val="auto"/>
          <w:sz w:val="24"/>
          <w:highlight w:val="none"/>
        </w:rPr>
      </w:pPr>
    </w:p>
    <w:p w14:paraId="3999F7F0">
      <w:pPr>
        <w:spacing w:line="360" w:lineRule="auto"/>
        <w:ind w:left="540"/>
        <w:contextualSpacing/>
        <w:jc w:val="right"/>
        <w:rPr>
          <w:rFonts w:ascii="宋体" w:hAnsi="宋体" w:cs="仿宋_GB2312"/>
          <w:color w:val="auto"/>
          <w:sz w:val="24"/>
          <w:highlight w:val="none"/>
        </w:rPr>
      </w:pPr>
      <w:r>
        <w:rPr>
          <w:rFonts w:hint="eastAsia" w:ascii="宋体" w:hAnsi="宋体" w:cs="仿宋_GB2312"/>
          <w:color w:val="auto"/>
          <w:sz w:val="24"/>
          <w:highlight w:val="none"/>
        </w:rPr>
        <w:t>供应商（盖公章）：</w:t>
      </w:r>
      <w:r>
        <w:rPr>
          <w:rFonts w:hint="eastAsia" w:ascii="宋体" w:hAnsi="宋体" w:cs="仿宋_GB2312"/>
          <w:color w:val="auto"/>
          <w:sz w:val="24"/>
          <w:highlight w:val="none"/>
          <w:u w:val="single"/>
        </w:rPr>
        <w:t xml:space="preserve">               </w:t>
      </w:r>
    </w:p>
    <w:p w14:paraId="62C97685">
      <w:pPr>
        <w:spacing w:line="360" w:lineRule="auto"/>
        <w:ind w:firstLine="4080" w:firstLineChars="1700"/>
        <w:contextualSpacing/>
        <w:rPr>
          <w:rFonts w:ascii="宋体" w:hAnsi="宋体" w:cs="仿宋_GB2312"/>
          <w:color w:val="auto"/>
          <w:sz w:val="24"/>
          <w:highlight w:val="none"/>
        </w:rPr>
      </w:pP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年</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月</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日</w:t>
      </w:r>
    </w:p>
    <w:p w14:paraId="65D4BF54">
      <w:pPr>
        <w:spacing w:line="360" w:lineRule="auto"/>
        <w:contextualSpacing/>
        <w:jc w:val="center"/>
        <w:rPr>
          <w:rFonts w:ascii="宋体" w:hAnsi="宋体" w:cs="仿宋_GB2312"/>
          <w:b/>
          <w:color w:val="auto"/>
          <w:sz w:val="24"/>
          <w:highlight w:val="none"/>
        </w:rPr>
      </w:pPr>
    </w:p>
    <w:p w14:paraId="2DBCF2C0">
      <w:pPr>
        <w:spacing w:line="360" w:lineRule="auto"/>
        <w:contextualSpacing/>
        <w:jc w:val="left"/>
        <w:rPr>
          <w:rFonts w:ascii="宋体" w:hAnsi="宋体" w:cs="仿宋_GB2312"/>
          <w:color w:val="auto"/>
          <w:sz w:val="24"/>
          <w:highlight w:val="none"/>
        </w:rPr>
      </w:pPr>
    </w:p>
    <w:p w14:paraId="44B9858B">
      <w:pPr>
        <w:spacing w:line="360" w:lineRule="auto"/>
        <w:contextualSpacing/>
        <w:jc w:val="left"/>
        <w:rPr>
          <w:rFonts w:ascii="宋体" w:hAnsi="宋体" w:cs="仿宋_GB2312"/>
          <w:color w:val="auto"/>
          <w:sz w:val="24"/>
          <w:highlight w:val="none"/>
        </w:rPr>
      </w:pPr>
      <w:r>
        <w:rPr>
          <w:rFonts w:hint="eastAsia" w:ascii="宋体" w:hAnsi="宋体" w:cs="仿宋_GB2312"/>
          <w:color w:val="auto"/>
          <w:sz w:val="24"/>
          <w:highlight w:val="none"/>
        </w:rPr>
        <w:t>注：1</w:t>
      </w:r>
      <w:r>
        <w:rPr>
          <w:rFonts w:ascii="宋体" w:hAnsi="宋体" w:cs="仿宋_GB2312"/>
          <w:color w:val="auto"/>
          <w:sz w:val="24"/>
          <w:highlight w:val="none"/>
        </w:rPr>
        <w:t>.</w:t>
      </w:r>
      <w:r>
        <w:rPr>
          <w:rFonts w:hint="eastAsia" w:ascii="宋体" w:hAnsi="宋体" w:cs="仿宋_GB2312"/>
          <w:color w:val="auto"/>
          <w:sz w:val="24"/>
          <w:highlight w:val="none"/>
        </w:rPr>
        <w:t>自然人竞标的无需提供，联合体竞标的只需牵头人出具。</w:t>
      </w:r>
    </w:p>
    <w:p w14:paraId="1C44FE83">
      <w:pPr>
        <w:spacing w:line="360" w:lineRule="auto"/>
        <w:ind w:firstLine="480" w:firstLineChars="200"/>
        <w:contextualSpacing/>
        <w:jc w:val="left"/>
        <w:rPr>
          <w:rFonts w:ascii="仿宋_GB2312" w:hAnsi="仿宋_GB2312" w:eastAsia="仿宋_GB2312" w:cs="仿宋_GB2312"/>
          <w:b/>
          <w:color w:val="auto"/>
          <w:sz w:val="32"/>
          <w:szCs w:val="32"/>
          <w:highlight w:val="none"/>
        </w:rPr>
      </w:pPr>
      <w:r>
        <w:rPr>
          <w:rFonts w:hint="eastAsia" w:ascii="宋体" w:hAnsi="宋体" w:cs="仿宋_GB2312"/>
          <w:color w:val="auto"/>
          <w:sz w:val="24"/>
          <w:highlight w:val="none"/>
        </w:rPr>
        <w:t>2</w:t>
      </w:r>
      <w:r>
        <w:rPr>
          <w:rFonts w:ascii="宋体" w:hAnsi="宋体" w:cs="仿宋_GB2312"/>
          <w:color w:val="auto"/>
          <w:sz w:val="24"/>
          <w:highlight w:val="none"/>
        </w:rPr>
        <w:t>.</w:t>
      </w:r>
      <w:r>
        <w:rPr>
          <w:rFonts w:hint="eastAsia" w:ascii="宋体" w:hAnsi="宋体" w:cs="仿宋_GB2312"/>
          <w:color w:val="auto"/>
          <w:sz w:val="24"/>
          <w:highlight w:val="none"/>
        </w:rPr>
        <w:t>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1DE4B957">
      <w:pPr>
        <w:adjustRightInd w:val="0"/>
        <w:snapToGrid w:val="0"/>
        <w:spacing w:line="300" w:lineRule="auto"/>
        <w:jc w:val="left"/>
        <w:rPr>
          <w:rFonts w:ascii="宋体" w:hAnsi="宋体"/>
          <w:b/>
          <w:color w:val="auto"/>
          <w:szCs w:val="21"/>
          <w:highlight w:val="none"/>
        </w:rPr>
      </w:pPr>
    </w:p>
    <w:p w14:paraId="6AA6F899">
      <w:pPr>
        <w:spacing w:line="50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br w:type="page"/>
      </w:r>
      <w:r>
        <w:rPr>
          <w:rFonts w:ascii="方正小标宋简体" w:hAnsi="方正小标宋简体" w:eastAsia="方正小标宋简体" w:cs="方正小标宋简体"/>
          <w:color w:val="auto"/>
          <w:sz w:val="44"/>
          <w:szCs w:val="44"/>
          <w:highlight w:val="none"/>
        </w:rPr>
        <w:t xml:space="preserve"> </w:t>
      </w:r>
    </w:p>
    <w:p w14:paraId="229BF60D">
      <w:pPr>
        <w:spacing w:line="520" w:lineRule="exact"/>
        <w:jc w:val="center"/>
        <w:rPr>
          <w:rFonts w:ascii="方正小标宋简体" w:hAnsi="方正小标宋简体" w:eastAsia="方正小标宋简体" w:cs="方正小标宋简体"/>
          <w:color w:val="auto"/>
          <w:sz w:val="44"/>
          <w:szCs w:val="44"/>
          <w:highlight w:val="none"/>
        </w:rPr>
      </w:pPr>
      <w:bookmarkStart w:id="96" w:name="_Hlk65853643"/>
      <w:r>
        <w:rPr>
          <w:rFonts w:hint="eastAsia" w:ascii="方正小标宋简体" w:hAnsi="方正小标宋简体" w:eastAsia="方正小标宋简体" w:cs="方正小标宋简体"/>
          <w:color w:val="auto"/>
          <w:sz w:val="44"/>
          <w:szCs w:val="44"/>
          <w:highlight w:val="none"/>
        </w:rPr>
        <w:t>授权委托书（非联合体竞标格式）</w:t>
      </w:r>
    </w:p>
    <w:p w14:paraId="543B1CD9">
      <w:pPr>
        <w:spacing w:line="52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（如有委托时）</w:t>
      </w:r>
    </w:p>
    <w:p w14:paraId="7ACE9FA6">
      <w:pPr>
        <w:spacing w:line="520" w:lineRule="exact"/>
        <w:rPr>
          <w:rFonts w:ascii="仿宋_GB2312" w:hAnsi="仿宋_GB2312" w:eastAsia="仿宋_GB2312" w:cs="仿宋_GB2312"/>
          <w:color w:val="auto"/>
          <w:sz w:val="32"/>
          <w:szCs w:val="32"/>
          <w:highlight w:val="none"/>
        </w:rPr>
      </w:pPr>
    </w:p>
    <w:p w14:paraId="63CF95F1">
      <w:pPr>
        <w:spacing w:line="360" w:lineRule="auto"/>
        <w:rPr>
          <w:rFonts w:ascii="宋体" w:hAnsi="宋体" w:cs="仿宋_GB2312"/>
          <w:color w:val="auto"/>
          <w:sz w:val="24"/>
          <w:highlight w:val="none"/>
        </w:rPr>
      </w:pPr>
      <w:r>
        <w:rPr>
          <w:rFonts w:hint="eastAsia" w:ascii="宋体" w:hAnsi="宋体" w:cs="仿宋_GB2312"/>
          <w:color w:val="auto"/>
          <w:sz w:val="24"/>
          <w:highlight w:val="none"/>
        </w:rPr>
        <w:t>致：</w:t>
      </w:r>
      <w:r>
        <w:rPr>
          <w:rFonts w:hint="eastAsia" w:ascii="宋体" w:hAnsi="宋体" w:cs="仿宋_GB2312"/>
          <w:color w:val="auto"/>
          <w:sz w:val="24"/>
          <w:highlight w:val="none"/>
          <w:u w:val="single"/>
        </w:rPr>
        <w:t>（采购人名称）</w:t>
      </w:r>
      <w:r>
        <w:rPr>
          <w:rFonts w:hint="eastAsia" w:ascii="宋体" w:hAnsi="宋体" w:cs="仿宋_GB2312"/>
          <w:color w:val="auto"/>
          <w:sz w:val="24"/>
          <w:highlight w:val="none"/>
        </w:rPr>
        <w:t>：</w:t>
      </w:r>
    </w:p>
    <w:p w14:paraId="2DB83B75">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我</w:t>
      </w:r>
      <w:r>
        <w:rPr>
          <w:rFonts w:hint="eastAsia" w:ascii="宋体" w:hAnsi="宋体" w:cs="仿宋_GB2312"/>
          <w:color w:val="auto"/>
          <w:sz w:val="24"/>
          <w:highlight w:val="none"/>
          <w:u w:val="single"/>
        </w:rPr>
        <w:t xml:space="preserve">  （姓名）  </w:t>
      </w:r>
      <w:r>
        <w:rPr>
          <w:rFonts w:hint="eastAsia" w:ascii="宋体" w:hAnsi="宋体" w:cs="仿宋_GB2312"/>
          <w:color w:val="auto"/>
          <w:sz w:val="24"/>
          <w:highlight w:val="none"/>
        </w:rPr>
        <w:t>系</w:t>
      </w:r>
      <w:r>
        <w:rPr>
          <w:rFonts w:hint="eastAsia" w:ascii="宋体" w:hAnsi="宋体" w:cs="仿宋_GB2312"/>
          <w:color w:val="auto"/>
          <w:sz w:val="24"/>
          <w:highlight w:val="none"/>
          <w:u w:val="single"/>
        </w:rPr>
        <w:t xml:space="preserve">  （供应商名称）  </w:t>
      </w:r>
      <w:r>
        <w:rPr>
          <w:rFonts w:hint="eastAsia" w:ascii="宋体" w:hAnsi="宋体" w:cs="仿宋_GB2312"/>
          <w:color w:val="auto"/>
          <w:sz w:val="24"/>
          <w:highlight w:val="none"/>
        </w:rPr>
        <w:t>的（</w:t>
      </w:r>
      <w:r>
        <w:rPr>
          <w:rFonts w:hint="eastAsia" w:ascii="宋体" w:hAnsi="宋体" w:cs="仿宋_GB2312"/>
          <w:color w:val="auto"/>
          <w:sz w:val="24"/>
          <w:highlight w:val="none"/>
          <w:u w:val="single"/>
        </w:rPr>
        <w:t>□法定代表人/□负责人/□自然人本人</w:t>
      </w:r>
      <w:r>
        <w:rPr>
          <w:rFonts w:hint="eastAsia" w:ascii="宋体" w:hAnsi="宋体" w:cs="仿宋_GB2312"/>
          <w:color w:val="auto"/>
          <w:sz w:val="24"/>
          <w:highlight w:val="none"/>
        </w:rPr>
        <w:t>），现授权</w:t>
      </w:r>
      <w:r>
        <w:rPr>
          <w:rFonts w:hint="eastAsia" w:ascii="宋体" w:hAnsi="宋体" w:cs="仿宋_GB2312"/>
          <w:color w:val="auto"/>
          <w:sz w:val="24"/>
          <w:highlight w:val="none"/>
          <w:u w:val="single"/>
        </w:rPr>
        <w:t xml:space="preserve"> （姓名） </w:t>
      </w:r>
      <w:r>
        <w:rPr>
          <w:rFonts w:hint="eastAsia" w:ascii="宋体" w:hAnsi="宋体" w:cs="仿宋_GB2312"/>
          <w:color w:val="auto"/>
          <w:sz w:val="24"/>
          <w:highlight w:val="none"/>
        </w:rPr>
        <w:t>以我方的名义参加</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项目的竞标活动，并代表我方全权办理针对上述项目的所有采购程序和环节的具体事务和签署相关文件。</w:t>
      </w:r>
    </w:p>
    <w:p w14:paraId="0FCDC97B">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我方对委托代理人的签字事项负全部责任。</w:t>
      </w:r>
    </w:p>
    <w:p w14:paraId="64B71C38">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本授权书自签署之日起生效，在撤销授权的书面通知以前，本授权书一直有效。委托代理人在授权书有效期内签署的所有文件不因授权的撤销而失效。</w:t>
      </w:r>
    </w:p>
    <w:p w14:paraId="5FC27472">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委托代理人无转委托权，特此委托。</w:t>
      </w:r>
    </w:p>
    <w:p w14:paraId="41FA2D07">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附：法定代表人身份证明书及委托代理人有效身份证正反面复印件</w:t>
      </w:r>
    </w:p>
    <w:p w14:paraId="359E49CC">
      <w:pPr>
        <w:spacing w:line="360" w:lineRule="auto"/>
        <w:rPr>
          <w:rFonts w:ascii="宋体" w:hAnsi="宋体" w:cs="仿宋_GB2312"/>
          <w:color w:val="auto"/>
          <w:sz w:val="24"/>
          <w:highlight w:val="none"/>
        </w:rPr>
      </w:pPr>
    </w:p>
    <w:p w14:paraId="1481F24D">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委托代理人（签字）：         法定代表人（签字或盖章）：                    </w:t>
      </w:r>
    </w:p>
    <w:p w14:paraId="5839299F">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委托代理人身份证号码：                              </w:t>
      </w:r>
    </w:p>
    <w:p w14:paraId="23FE94B3">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w:t>
      </w:r>
    </w:p>
    <w:p w14:paraId="789B6BFE">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供应商（盖公章）：                      </w:t>
      </w:r>
    </w:p>
    <w:p w14:paraId="7D8AEEB9">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年    月    日</w:t>
      </w:r>
    </w:p>
    <w:p w14:paraId="55F52E5C">
      <w:pPr>
        <w:spacing w:line="360" w:lineRule="auto"/>
        <w:rPr>
          <w:rFonts w:ascii="宋体" w:hAnsi="宋体" w:cs="仿宋_GB2312"/>
          <w:color w:val="auto"/>
          <w:sz w:val="24"/>
          <w:highlight w:val="none"/>
        </w:rPr>
      </w:pPr>
    </w:p>
    <w:p w14:paraId="3A0062B4">
      <w:pPr>
        <w:spacing w:line="360" w:lineRule="auto"/>
        <w:rPr>
          <w:rFonts w:ascii="宋体" w:hAnsi="宋体" w:cs="仿宋_GB2312"/>
          <w:color w:val="auto"/>
          <w:sz w:val="24"/>
          <w:highlight w:val="none"/>
        </w:rPr>
      </w:pPr>
      <w:r>
        <w:rPr>
          <w:rFonts w:hint="eastAsia" w:ascii="宋体" w:hAnsi="宋体" w:cs="仿宋_GB2312"/>
          <w:color w:val="auto"/>
          <w:sz w:val="24"/>
          <w:highlight w:val="none"/>
        </w:rPr>
        <w:t>注：1. 法定代表人必须在授权委托书上亲笔签字或盖章，委托代理人必须在授权委托书上亲笔签字，</w:t>
      </w:r>
      <w:r>
        <w:rPr>
          <w:rFonts w:hint="eastAsia" w:ascii="宋体" w:hAnsi="宋体" w:cs="仿宋_GB2312"/>
          <w:b/>
          <w:color w:val="auto"/>
          <w:sz w:val="24"/>
          <w:highlight w:val="none"/>
        </w:rPr>
        <w:t>否则其响应文件按无效响应处理。</w:t>
      </w:r>
    </w:p>
    <w:p w14:paraId="3BD760B8">
      <w:pPr>
        <w:spacing w:line="360" w:lineRule="auto"/>
        <w:ind w:firstLine="480" w:firstLineChars="200"/>
        <w:jc w:val="left"/>
        <w:rPr>
          <w:rFonts w:ascii="宋体" w:hAnsi="宋体" w:cs="仿宋_GB2312"/>
          <w:color w:val="auto"/>
          <w:sz w:val="24"/>
          <w:highlight w:val="none"/>
        </w:rPr>
      </w:pPr>
      <w:r>
        <w:rPr>
          <w:rFonts w:ascii="宋体" w:hAnsi="宋体" w:cs="仿宋_GB2312"/>
          <w:color w:val="auto"/>
          <w:sz w:val="24"/>
          <w:highlight w:val="none"/>
        </w:rPr>
        <w:t>2.</w:t>
      </w:r>
      <w:r>
        <w:rPr>
          <w:rFonts w:hint="eastAsia" w:ascii="宋体" w:hAnsi="宋体" w:cs="仿宋_GB2312"/>
          <w:color w:val="auto"/>
          <w:sz w:val="24"/>
          <w:highlight w:val="none"/>
        </w:rPr>
        <w:t>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50A637B4">
      <w:pPr>
        <w:spacing w:line="360" w:lineRule="auto"/>
        <w:ind w:firstLine="480" w:firstLineChars="200"/>
        <w:jc w:val="left"/>
        <w:rPr>
          <w:rFonts w:ascii="宋体" w:hAnsi="宋体" w:cs="仿宋_GB2312"/>
          <w:color w:val="auto"/>
          <w:sz w:val="24"/>
          <w:highlight w:val="none"/>
        </w:rPr>
      </w:pPr>
      <w:r>
        <w:rPr>
          <w:rFonts w:hint="eastAsia" w:ascii="宋体" w:hAnsi="宋体" w:cs="仿宋_GB2312"/>
          <w:color w:val="auto"/>
          <w:sz w:val="24"/>
          <w:highlight w:val="none"/>
        </w:rPr>
        <w:t>3</w:t>
      </w:r>
      <w:r>
        <w:rPr>
          <w:rFonts w:ascii="宋体" w:hAnsi="宋体" w:cs="仿宋_GB2312"/>
          <w:color w:val="auto"/>
          <w:sz w:val="24"/>
          <w:highlight w:val="none"/>
        </w:rPr>
        <w:t>.</w:t>
      </w:r>
      <w:r>
        <w:rPr>
          <w:rFonts w:hint="eastAsia" w:ascii="宋体" w:hAnsi="宋体" w:cs="仿宋_GB2312"/>
          <w:color w:val="auto"/>
          <w:sz w:val="24"/>
          <w:highlight w:val="none"/>
        </w:rPr>
        <w:t xml:space="preserve"> </w:t>
      </w:r>
      <w:bookmarkStart w:id="97" w:name="_Hlk65853109"/>
      <w:bookmarkStart w:id="98" w:name="_Hlk65853542"/>
      <w:r>
        <w:rPr>
          <w:rFonts w:hint="eastAsia" w:ascii="宋体" w:hAnsi="宋体" w:cs="仿宋_GB2312"/>
          <w:color w:val="auto"/>
          <w:sz w:val="24"/>
          <w:highlight w:val="none"/>
        </w:rPr>
        <w:t>法人、其他组织竞标时“我方”是指“我单位”，自然人竞标时“我方”是指“本人”。</w:t>
      </w:r>
      <w:bookmarkEnd w:id="97"/>
    </w:p>
    <w:bookmarkEnd w:id="98"/>
    <w:p w14:paraId="13B3CB76">
      <w:pPr>
        <w:spacing w:line="360" w:lineRule="auto"/>
        <w:ind w:firstLine="420" w:firstLineChars="200"/>
        <w:jc w:val="left"/>
        <w:rPr>
          <w:rFonts w:ascii="仿宋_GB2312" w:hAnsi="仿宋_GB2312" w:eastAsia="仿宋_GB2312" w:cs="仿宋_GB2312"/>
          <w:color w:val="auto"/>
          <w:szCs w:val="21"/>
          <w:highlight w:val="none"/>
        </w:rPr>
      </w:pPr>
    </w:p>
    <w:p w14:paraId="739123E3">
      <w:pPr>
        <w:spacing w:line="500" w:lineRule="exact"/>
        <w:jc w:val="center"/>
        <w:rPr>
          <w:rFonts w:ascii="方正小标宋简体" w:hAnsi="方正小标宋简体" w:eastAsia="方正小标宋简体" w:cs="方正小标宋简体"/>
          <w:color w:val="auto"/>
          <w:sz w:val="44"/>
          <w:szCs w:val="44"/>
          <w:highlight w:val="none"/>
        </w:rPr>
      </w:pPr>
      <w:r>
        <w:rPr>
          <w:rFonts w:ascii="仿宋_GB2312" w:hAnsi="仿宋_GB2312" w:eastAsia="仿宋_GB2312" w:cs="仿宋_GB2312"/>
          <w:color w:val="auto"/>
          <w:szCs w:val="21"/>
          <w:highlight w:val="none"/>
        </w:rPr>
        <w:br w:type="page"/>
      </w:r>
      <w:r>
        <w:rPr>
          <w:rFonts w:hint="eastAsia" w:ascii="方正小标宋简体" w:hAnsi="方正小标宋简体" w:eastAsia="方正小标宋简体" w:cs="方正小标宋简体"/>
          <w:color w:val="auto"/>
          <w:sz w:val="44"/>
          <w:szCs w:val="44"/>
          <w:highlight w:val="none"/>
        </w:rPr>
        <w:t>授权委托书（联合体竞标格式）</w:t>
      </w:r>
    </w:p>
    <w:p w14:paraId="221ABA3F">
      <w:pPr>
        <w:spacing w:line="50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（如有委托时）</w:t>
      </w:r>
    </w:p>
    <w:p w14:paraId="7667C33F">
      <w:pPr>
        <w:spacing w:line="500" w:lineRule="exact"/>
        <w:jc w:val="center"/>
        <w:rPr>
          <w:rFonts w:ascii="方正小标宋简体" w:hAnsi="方正小标宋简体" w:eastAsia="方正小标宋简体" w:cs="方正小标宋简体"/>
          <w:color w:val="auto"/>
          <w:sz w:val="44"/>
          <w:szCs w:val="44"/>
          <w:highlight w:val="none"/>
        </w:rPr>
      </w:pPr>
    </w:p>
    <w:p w14:paraId="05BA4938">
      <w:pPr>
        <w:spacing w:line="500" w:lineRule="exact"/>
        <w:jc w:val="center"/>
        <w:rPr>
          <w:rFonts w:ascii="仿宋_GB2312" w:hAnsi="仿宋_GB2312" w:eastAsia="仿宋_GB2312" w:cs="仿宋_GB2312"/>
          <w:color w:val="auto"/>
          <w:sz w:val="32"/>
          <w:szCs w:val="32"/>
          <w:highlight w:val="none"/>
        </w:rPr>
      </w:pPr>
    </w:p>
    <w:p w14:paraId="56978A3C">
      <w:pPr>
        <w:spacing w:line="360" w:lineRule="auto"/>
        <w:ind w:firstLine="480" w:firstLineChars="200"/>
        <w:jc w:val="left"/>
        <w:rPr>
          <w:rFonts w:ascii="宋体" w:hAnsi="宋体" w:cs="仿宋_GB2312"/>
          <w:color w:val="auto"/>
          <w:sz w:val="24"/>
          <w:highlight w:val="none"/>
        </w:rPr>
      </w:pPr>
      <w:r>
        <w:rPr>
          <w:rFonts w:hint="eastAsia" w:ascii="宋体" w:hAnsi="宋体" w:cs="仿宋_GB2312"/>
          <w:color w:val="auto"/>
          <w:sz w:val="24"/>
          <w:highlight w:val="none"/>
        </w:rPr>
        <w:t>本授权委托书声明：根据</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（牵头人名称）与</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（联合体其他成员名称）签订的《联合体竞标协议书》的内容，</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（牵头人名称）的法定代表人</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（姓名）现授权</w:t>
      </w:r>
      <w:r>
        <w:rPr>
          <w:rFonts w:hint="eastAsia" w:ascii="宋体" w:hAnsi="宋体" w:cs="仿宋_GB2312"/>
          <w:color w:val="auto"/>
          <w:sz w:val="24"/>
          <w:highlight w:val="none"/>
          <w:u w:val="single"/>
        </w:rPr>
        <w:t xml:space="preserve">      </w:t>
      </w:r>
      <w:r>
        <w:rPr>
          <w:rFonts w:hint="eastAsia" w:ascii="宋体" w:hAnsi="宋体" w:cs="仿宋_GB2312"/>
          <w:color w:val="auto"/>
          <w:sz w:val="24"/>
          <w:highlight w:val="none"/>
        </w:rPr>
        <w:t>（姓名）为联合委托代理人，并代表我方全权办理针对上述项目的所有采购程序和环节的具体事务和签署相关文件。</w:t>
      </w:r>
    </w:p>
    <w:p w14:paraId="0E9F1609">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我方对委托代理人的签字事项负全部责任。</w:t>
      </w:r>
    </w:p>
    <w:p w14:paraId="081D22E0">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本授权书自签署之日起生效，在撤销授权的书面通知以前，本授权书一直有效。委托代理人在授权书有效期内签署的所有文件不因授权的撤销而失效。</w:t>
      </w:r>
    </w:p>
    <w:p w14:paraId="60CFA96A">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委托代理人无转委托权，特此委托。</w:t>
      </w:r>
    </w:p>
    <w:p w14:paraId="19A330A3">
      <w:pPr>
        <w:spacing w:line="360" w:lineRule="auto"/>
        <w:rPr>
          <w:rFonts w:ascii="宋体" w:hAnsi="宋体" w:cs="仿宋_GB2312"/>
          <w:color w:val="auto"/>
          <w:sz w:val="24"/>
          <w:highlight w:val="none"/>
        </w:rPr>
      </w:pPr>
      <w:r>
        <w:rPr>
          <w:rFonts w:hint="eastAsia" w:ascii="宋体" w:hAnsi="宋体" w:cs="仿宋_GB2312"/>
          <w:color w:val="auto"/>
          <w:sz w:val="24"/>
          <w:highlight w:val="none"/>
        </w:rPr>
        <w:t xml:space="preserve">    </w:t>
      </w:r>
    </w:p>
    <w:p w14:paraId="248D8AA0">
      <w:pPr>
        <w:spacing w:line="360" w:lineRule="auto"/>
        <w:ind w:firstLine="480" w:firstLineChars="200"/>
        <w:rPr>
          <w:rFonts w:ascii="宋体" w:hAnsi="宋体" w:cs="仿宋_GB2312"/>
          <w:color w:val="auto"/>
          <w:sz w:val="24"/>
          <w:highlight w:val="none"/>
        </w:rPr>
      </w:pPr>
      <w:r>
        <w:rPr>
          <w:rFonts w:hint="eastAsia" w:ascii="宋体" w:hAnsi="宋体" w:cs="仿宋_GB2312"/>
          <w:color w:val="auto"/>
          <w:sz w:val="24"/>
          <w:highlight w:val="none"/>
        </w:rPr>
        <w:t>牵头人法定代表人（签字或盖章）：</w:t>
      </w:r>
    </w:p>
    <w:p w14:paraId="650BD272">
      <w:pPr>
        <w:spacing w:line="360" w:lineRule="auto"/>
        <w:ind w:firstLine="3120" w:firstLineChars="1300"/>
        <w:rPr>
          <w:rFonts w:ascii="宋体" w:hAnsi="宋体" w:cs="仿宋_GB2312"/>
          <w:color w:val="auto"/>
          <w:sz w:val="24"/>
          <w:highlight w:val="none"/>
        </w:rPr>
      </w:pPr>
      <w:r>
        <w:rPr>
          <w:rFonts w:hint="eastAsia" w:ascii="宋体" w:hAnsi="宋体" w:cs="仿宋_GB2312"/>
          <w:color w:val="auto"/>
          <w:sz w:val="24"/>
          <w:highlight w:val="none"/>
        </w:rPr>
        <w:t>牵头人（盖公章）：</w:t>
      </w:r>
    </w:p>
    <w:p w14:paraId="119553B5">
      <w:pPr>
        <w:spacing w:line="360" w:lineRule="auto"/>
        <w:ind w:firstLine="3840" w:firstLineChars="1600"/>
        <w:rPr>
          <w:rFonts w:ascii="宋体" w:hAnsi="宋体" w:cs="仿宋_GB2312"/>
          <w:color w:val="auto"/>
          <w:sz w:val="24"/>
          <w:highlight w:val="none"/>
        </w:rPr>
      </w:pPr>
      <w:r>
        <w:rPr>
          <w:rFonts w:hint="eastAsia" w:ascii="宋体" w:hAnsi="宋体" w:cs="仿宋_GB2312"/>
          <w:color w:val="auto"/>
          <w:sz w:val="24"/>
          <w:highlight w:val="none"/>
        </w:rPr>
        <w:t>日期：    年   月   日</w:t>
      </w:r>
    </w:p>
    <w:p w14:paraId="28B8F6A3">
      <w:pPr>
        <w:spacing w:line="360" w:lineRule="auto"/>
        <w:rPr>
          <w:rFonts w:ascii="宋体" w:hAnsi="宋体" w:cs="仿宋_GB2312"/>
          <w:color w:val="auto"/>
          <w:sz w:val="24"/>
          <w:highlight w:val="none"/>
        </w:rPr>
      </w:pPr>
    </w:p>
    <w:p w14:paraId="5ADA8150">
      <w:pPr>
        <w:spacing w:line="360" w:lineRule="auto"/>
        <w:ind w:firstLine="3120" w:firstLineChars="1300"/>
        <w:rPr>
          <w:rFonts w:ascii="宋体" w:hAnsi="宋体" w:cs="仿宋_GB2312"/>
          <w:color w:val="auto"/>
          <w:sz w:val="24"/>
          <w:highlight w:val="none"/>
        </w:rPr>
      </w:pPr>
      <w:r>
        <w:rPr>
          <w:rFonts w:hint="eastAsia" w:ascii="宋体" w:hAnsi="宋体" w:cs="仿宋_GB2312"/>
          <w:color w:val="auto"/>
          <w:sz w:val="24"/>
          <w:highlight w:val="none"/>
        </w:rPr>
        <w:t>被授权人（签字）：</w:t>
      </w:r>
    </w:p>
    <w:p w14:paraId="0B9FB973">
      <w:pPr>
        <w:spacing w:line="360" w:lineRule="auto"/>
        <w:ind w:firstLine="3840" w:firstLineChars="1600"/>
        <w:rPr>
          <w:rFonts w:ascii="宋体" w:hAnsi="宋体" w:cs="仿宋_GB2312"/>
          <w:color w:val="auto"/>
          <w:sz w:val="24"/>
          <w:highlight w:val="none"/>
        </w:rPr>
      </w:pPr>
      <w:r>
        <w:rPr>
          <w:rFonts w:hint="eastAsia" w:ascii="宋体" w:hAnsi="宋体" w:cs="仿宋_GB2312"/>
          <w:color w:val="auto"/>
          <w:sz w:val="24"/>
          <w:highlight w:val="none"/>
        </w:rPr>
        <w:t>日期：    年   月   日</w:t>
      </w:r>
    </w:p>
    <w:p w14:paraId="099A2D06">
      <w:pPr>
        <w:spacing w:line="360" w:lineRule="auto"/>
        <w:rPr>
          <w:rFonts w:ascii="宋体" w:hAnsi="宋体" w:cs="仿宋_GB2312"/>
          <w:color w:val="auto"/>
          <w:sz w:val="24"/>
          <w:highlight w:val="none"/>
        </w:rPr>
      </w:pPr>
    </w:p>
    <w:p w14:paraId="7ABDF427">
      <w:pPr>
        <w:spacing w:line="360" w:lineRule="auto"/>
        <w:rPr>
          <w:rFonts w:ascii="宋体" w:hAnsi="宋体" w:cs="仿宋_GB2312"/>
          <w:color w:val="auto"/>
          <w:sz w:val="24"/>
          <w:highlight w:val="none"/>
        </w:rPr>
      </w:pPr>
      <w:r>
        <w:rPr>
          <w:rFonts w:hint="eastAsia" w:ascii="宋体" w:hAnsi="宋体" w:cs="仿宋_GB2312"/>
          <w:color w:val="auto"/>
          <w:sz w:val="24"/>
          <w:highlight w:val="none"/>
        </w:rPr>
        <w:t>注：1. 法定代表人必须在授权委托书上亲笔签字或盖章，委托代理人必须在授权委托书上亲笔签字，</w:t>
      </w:r>
      <w:r>
        <w:rPr>
          <w:rFonts w:hint="eastAsia" w:ascii="宋体" w:hAnsi="宋体" w:cs="仿宋_GB2312"/>
          <w:b/>
          <w:color w:val="auto"/>
          <w:sz w:val="24"/>
          <w:highlight w:val="none"/>
        </w:rPr>
        <w:t>否则其响应文件按无效响应处理。</w:t>
      </w:r>
    </w:p>
    <w:p w14:paraId="644C661D">
      <w:pPr>
        <w:spacing w:line="360" w:lineRule="auto"/>
        <w:ind w:firstLine="480" w:firstLineChars="200"/>
        <w:jc w:val="left"/>
        <w:rPr>
          <w:rFonts w:ascii="宋体" w:hAnsi="宋体" w:cs="仿宋_GB2312"/>
          <w:color w:val="auto"/>
          <w:sz w:val="24"/>
          <w:highlight w:val="none"/>
        </w:rPr>
      </w:pPr>
      <w:r>
        <w:rPr>
          <w:rFonts w:hint="eastAsia" w:ascii="宋体" w:hAnsi="宋体" w:cs="仿宋_GB2312"/>
          <w:color w:val="auto"/>
          <w:sz w:val="24"/>
          <w:highlight w:val="none"/>
        </w:rPr>
        <w:t>2.本授权委托书应由联合体牵头人的法定代表人按上述规定签署。</w:t>
      </w:r>
    </w:p>
    <w:p w14:paraId="61F660BE">
      <w:pPr>
        <w:spacing w:line="360" w:lineRule="auto"/>
        <w:ind w:firstLine="480" w:firstLineChars="200"/>
        <w:jc w:val="left"/>
        <w:rPr>
          <w:rFonts w:ascii="宋体" w:hAnsi="宋体" w:cs="仿宋_GB2312"/>
          <w:color w:val="auto"/>
          <w:sz w:val="24"/>
          <w:highlight w:val="none"/>
        </w:rPr>
      </w:pPr>
      <w:r>
        <w:rPr>
          <w:rFonts w:hint="eastAsia" w:ascii="宋体" w:hAnsi="宋体" w:cs="仿宋_GB2312"/>
          <w:color w:val="auto"/>
          <w:sz w:val="24"/>
          <w:highlight w:val="none"/>
        </w:rPr>
        <w:t>3</w:t>
      </w:r>
      <w:r>
        <w:rPr>
          <w:rFonts w:ascii="宋体" w:hAnsi="宋体" w:cs="仿宋_GB2312"/>
          <w:color w:val="auto"/>
          <w:sz w:val="24"/>
          <w:highlight w:val="none"/>
        </w:rPr>
        <w:t>.</w:t>
      </w:r>
      <w:r>
        <w:rPr>
          <w:rFonts w:hint="eastAsia" w:ascii="宋体" w:hAnsi="宋体" w:cs="仿宋_GB2312"/>
          <w:color w:val="auto"/>
          <w:sz w:val="24"/>
          <w:highlight w:val="none"/>
        </w:rPr>
        <w:t>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43EA3CAE">
      <w:pPr>
        <w:spacing w:line="360" w:lineRule="auto"/>
        <w:ind w:firstLine="480" w:firstLineChars="200"/>
        <w:jc w:val="left"/>
        <w:rPr>
          <w:rFonts w:ascii="宋体" w:hAnsi="宋体" w:cs="仿宋_GB2312"/>
          <w:color w:val="auto"/>
          <w:sz w:val="24"/>
          <w:highlight w:val="none"/>
        </w:rPr>
      </w:pPr>
      <w:r>
        <w:rPr>
          <w:rFonts w:hint="eastAsia" w:ascii="宋体" w:hAnsi="宋体" w:cs="仿宋_GB2312"/>
          <w:color w:val="auto"/>
          <w:sz w:val="24"/>
          <w:highlight w:val="none"/>
        </w:rPr>
        <w:t>4</w:t>
      </w:r>
      <w:r>
        <w:rPr>
          <w:rFonts w:ascii="宋体" w:hAnsi="宋体" w:cs="仿宋_GB2312"/>
          <w:color w:val="auto"/>
          <w:sz w:val="24"/>
          <w:highlight w:val="none"/>
        </w:rPr>
        <w:t>.</w:t>
      </w:r>
      <w:r>
        <w:rPr>
          <w:rFonts w:hint="eastAsia" w:ascii="宋体" w:hAnsi="宋体" w:cs="仿宋_GB2312"/>
          <w:color w:val="auto"/>
          <w:sz w:val="24"/>
          <w:highlight w:val="none"/>
        </w:rPr>
        <w:t>法人、其他组织竞标时“我方”是指“我单位”，自然人竞标时“我方”是指“本人”。</w:t>
      </w:r>
    </w:p>
    <w:bookmarkEnd w:id="96"/>
    <w:p w14:paraId="0C26A905">
      <w:pPr>
        <w:spacing w:line="360" w:lineRule="auto"/>
        <w:ind w:firstLine="420" w:firstLineChars="200"/>
        <w:jc w:val="left"/>
        <w:rPr>
          <w:rFonts w:ascii="仿宋_GB2312" w:hAnsi="仿宋_GB2312" w:eastAsia="仿宋_GB2312" w:cs="仿宋_GB2312"/>
          <w:color w:val="auto"/>
          <w:szCs w:val="21"/>
          <w:highlight w:val="none"/>
        </w:rPr>
      </w:pPr>
    </w:p>
    <w:p w14:paraId="422ED512">
      <w:pPr>
        <w:spacing w:line="500" w:lineRule="exact"/>
        <w:jc w:val="center"/>
        <w:rPr>
          <w:rFonts w:ascii="方正小标宋简体" w:hAnsi="方正小标宋简体" w:eastAsia="方正小标宋简体" w:cs="方正小标宋简体"/>
          <w:bCs/>
          <w:color w:val="auto"/>
          <w:sz w:val="44"/>
          <w:szCs w:val="44"/>
          <w:highlight w:val="none"/>
        </w:rPr>
      </w:pPr>
      <w:r>
        <w:rPr>
          <w:rFonts w:hint="eastAsia" w:ascii="仿宋_GB2312" w:hAnsi="仿宋_GB2312" w:eastAsia="仿宋_GB2312" w:cs="仿宋_GB2312"/>
          <w:color w:val="auto"/>
          <w:sz w:val="32"/>
          <w:szCs w:val="32"/>
          <w:highlight w:val="none"/>
        </w:rPr>
        <w:br w:type="page"/>
      </w:r>
      <w:r>
        <w:rPr>
          <w:rFonts w:hint="eastAsia" w:ascii="方正小标宋简体" w:hAnsi="方正小标宋简体" w:eastAsia="方正小标宋简体" w:cs="方正小标宋简体"/>
          <w:bCs/>
          <w:color w:val="auto"/>
          <w:sz w:val="44"/>
          <w:szCs w:val="44"/>
          <w:highlight w:val="none"/>
        </w:rPr>
        <w:t>商务条款偏离表格式</w:t>
      </w:r>
    </w:p>
    <w:p w14:paraId="19B0EC7B">
      <w:pPr>
        <w:spacing w:line="500" w:lineRule="exact"/>
        <w:jc w:val="center"/>
        <w:rPr>
          <w:rFonts w:ascii="宋体" w:hAnsi="宋体"/>
          <w:b/>
          <w:color w:val="auto"/>
          <w:sz w:val="32"/>
          <w:szCs w:val="32"/>
          <w:highlight w:val="none"/>
        </w:rPr>
      </w:pPr>
      <w:r>
        <w:rPr>
          <w:rFonts w:hint="eastAsia" w:ascii="方正小标宋简体" w:hAnsi="方正小标宋简体" w:eastAsia="方正小标宋简体" w:cs="方正小标宋简体"/>
          <w:bCs/>
          <w:color w:val="auto"/>
          <w:sz w:val="44"/>
          <w:szCs w:val="44"/>
          <w:highlight w:val="none"/>
        </w:rPr>
        <w:t>(注：按采购需求具体条款修改)</w:t>
      </w:r>
    </w:p>
    <w:p w14:paraId="336CF577">
      <w:pPr>
        <w:spacing w:line="360" w:lineRule="auto"/>
        <w:contextualSpacing/>
        <w:jc w:val="left"/>
        <w:rPr>
          <w:rFonts w:ascii="宋体" w:hAnsi="宋体"/>
          <w:color w:val="auto"/>
          <w:sz w:val="24"/>
          <w:highlight w:val="none"/>
        </w:rPr>
      </w:pPr>
    </w:p>
    <w:p w14:paraId="76119458">
      <w:pPr>
        <w:pStyle w:val="12"/>
        <w:spacing w:line="360" w:lineRule="auto"/>
        <w:contextualSpacing/>
        <w:rPr>
          <w:rFonts w:hAnsi="宋体" w:cs="仿宋_GB2312"/>
          <w:color w:val="auto"/>
          <w:sz w:val="24"/>
          <w:szCs w:val="24"/>
          <w:highlight w:val="none"/>
        </w:rPr>
      </w:pPr>
      <w:r>
        <w:rPr>
          <w:rFonts w:hint="eastAsia" w:hAnsi="宋体" w:cs="仿宋_GB2312"/>
          <w:color w:val="auto"/>
          <w:sz w:val="24"/>
          <w:szCs w:val="24"/>
          <w:highlight w:val="none"/>
        </w:rPr>
        <w:t>所竞分标：</w:t>
      </w:r>
      <w:r>
        <w:rPr>
          <w:rFonts w:hint="eastAsia" w:hAnsi="宋体" w:cs="仿宋_GB2312"/>
          <w:color w:val="auto"/>
          <w:sz w:val="24"/>
          <w:szCs w:val="24"/>
          <w:highlight w:val="none"/>
          <w:u w:val="single"/>
        </w:rPr>
        <w:t xml:space="preserve">              </w:t>
      </w:r>
    </w:p>
    <w:p w14:paraId="1B74E410">
      <w:pPr>
        <w:spacing w:line="360" w:lineRule="auto"/>
        <w:contextualSpacing/>
        <w:jc w:val="left"/>
        <w:rPr>
          <w:rFonts w:ascii="宋体" w:hAnsi="宋体" w:cs="仿宋_GB2312"/>
          <w:color w:val="auto"/>
          <w:sz w:val="24"/>
          <w:highlight w:val="none"/>
          <w:u w:val="single"/>
        </w:rPr>
      </w:pPr>
    </w:p>
    <w:tbl>
      <w:tblPr>
        <w:tblStyle w:val="21"/>
        <w:tblpPr w:leftFromText="180" w:rightFromText="180" w:vertAnchor="text" w:horzAnchor="margin" w:tblpY="-9"/>
        <w:tblOverlap w:val="never"/>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8"/>
        <w:gridCol w:w="2668"/>
        <w:gridCol w:w="2350"/>
        <w:gridCol w:w="2112"/>
      </w:tblGrid>
      <w:tr w14:paraId="5C84F4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2178" w:type="dxa"/>
            <w:tcBorders>
              <w:top w:val="single" w:color="auto" w:sz="4" w:space="0"/>
              <w:left w:val="single" w:color="auto" w:sz="4" w:space="0"/>
              <w:bottom w:val="single" w:color="auto" w:sz="4" w:space="0"/>
              <w:right w:val="single" w:color="auto" w:sz="4" w:space="0"/>
            </w:tcBorders>
            <w:vAlign w:val="center"/>
          </w:tcPr>
          <w:p w14:paraId="6E5E0975">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项目</w:t>
            </w:r>
          </w:p>
        </w:tc>
        <w:tc>
          <w:tcPr>
            <w:tcW w:w="2668" w:type="dxa"/>
            <w:tcBorders>
              <w:top w:val="single" w:color="auto" w:sz="4" w:space="0"/>
              <w:left w:val="single" w:color="auto" w:sz="4" w:space="0"/>
              <w:bottom w:val="single" w:color="auto" w:sz="4" w:space="0"/>
              <w:right w:val="single" w:color="auto" w:sz="4" w:space="0"/>
            </w:tcBorders>
            <w:vAlign w:val="center"/>
          </w:tcPr>
          <w:p w14:paraId="289DD0EE">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磋商文件商务条款要求</w:t>
            </w:r>
          </w:p>
        </w:tc>
        <w:tc>
          <w:tcPr>
            <w:tcW w:w="2350" w:type="dxa"/>
            <w:tcBorders>
              <w:top w:val="single" w:color="auto" w:sz="4" w:space="0"/>
              <w:left w:val="single" w:color="auto" w:sz="4" w:space="0"/>
              <w:bottom w:val="single" w:color="auto" w:sz="4" w:space="0"/>
              <w:right w:val="single" w:color="auto" w:sz="4" w:space="0"/>
            </w:tcBorders>
            <w:vAlign w:val="center"/>
          </w:tcPr>
          <w:p w14:paraId="49650504">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供应商的响应</w:t>
            </w:r>
          </w:p>
        </w:tc>
        <w:tc>
          <w:tcPr>
            <w:tcW w:w="2112" w:type="dxa"/>
            <w:tcBorders>
              <w:top w:val="single" w:color="auto" w:sz="4" w:space="0"/>
              <w:left w:val="single" w:color="auto" w:sz="4" w:space="0"/>
              <w:bottom w:val="single" w:color="auto" w:sz="4" w:space="0"/>
              <w:right w:val="single" w:color="auto" w:sz="4" w:space="0"/>
            </w:tcBorders>
            <w:vAlign w:val="center"/>
          </w:tcPr>
          <w:p w14:paraId="437E3A07">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偏离说明</w:t>
            </w:r>
          </w:p>
        </w:tc>
      </w:tr>
      <w:tr w14:paraId="29C738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2178" w:type="dxa"/>
            <w:tcBorders>
              <w:top w:val="single" w:color="auto" w:sz="4" w:space="0"/>
              <w:left w:val="single" w:color="auto" w:sz="4" w:space="0"/>
              <w:bottom w:val="single" w:color="auto" w:sz="4" w:space="0"/>
              <w:right w:val="single" w:color="auto" w:sz="4" w:space="0"/>
            </w:tcBorders>
            <w:vAlign w:val="center"/>
          </w:tcPr>
          <w:p w14:paraId="73A9DFBD">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服务期限</w:t>
            </w:r>
          </w:p>
        </w:tc>
        <w:tc>
          <w:tcPr>
            <w:tcW w:w="2668" w:type="dxa"/>
            <w:tcBorders>
              <w:top w:val="single" w:color="auto" w:sz="4" w:space="0"/>
              <w:left w:val="single" w:color="auto" w:sz="4" w:space="0"/>
              <w:bottom w:val="single" w:color="auto" w:sz="4" w:space="0"/>
              <w:right w:val="single" w:color="auto" w:sz="4" w:space="0"/>
            </w:tcBorders>
            <w:vAlign w:val="center"/>
          </w:tcPr>
          <w:p w14:paraId="56F93D49">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32B0FB74">
            <w:pPr>
              <w:spacing w:line="360" w:lineRule="auto"/>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4AAB5420">
            <w:pPr>
              <w:spacing w:line="360" w:lineRule="auto"/>
              <w:contextualSpacing/>
              <w:jc w:val="center"/>
              <w:rPr>
                <w:rFonts w:ascii="宋体" w:hAnsi="宋体" w:cs="仿宋_GB2312"/>
                <w:color w:val="auto"/>
                <w:sz w:val="24"/>
                <w:highlight w:val="none"/>
              </w:rPr>
            </w:pPr>
          </w:p>
        </w:tc>
      </w:tr>
      <w:tr w14:paraId="322A7B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2178" w:type="dxa"/>
            <w:tcBorders>
              <w:top w:val="single" w:color="auto" w:sz="4" w:space="0"/>
              <w:left w:val="single" w:color="auto" w:sz="4" w:space="0"/>
              <w:bottom w:val="single" w:color="auto" w:sz="4" w:space="0"/>
              <w:right w:val="single" w:color="auto" w:sz="4" w:space="0"/>
            </w:tcBorders>
            <w:vAlign w:val="center"/>
          </w:tcPr>
          <w:p w14:paraId="5AC7B24B">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交付或者实施时间及地点</w:t>
            </w:r>
          </w:p>
        </w:tc>
        <w:tc>
          <w:tcPr>
            <w:tcW w:w="2668" w:type="dxa"/>
            <w:tcBorders>
              <w:top w:val="single" w:color="auto" w:sz="4" w:space="0"/>
              <w:left w:val="single" w:color="auto" w:sz="4" w:space="0"/>
              <w:bottom w:val="single" w:color="auto" w:sz="4" w:space="0"/>
              <w:right w:val="single" w:color="auto" w:sz="4" w:space="0"/>
            </w:tcBorders>
            <w:vAlign w:val="center"/>
          </w:tcPr>
          <w:p w14:paraId="3A0FDCA9">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0D910B13">
            <w:pPr>
              <w:spacing w:line="360" w:lineRule="auto"/>
              <w:ind w:left="43"/>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10629CEA">
            <w:pPr>
              <w:spacing w:line="360" w:lineRule="auto"/>
              <w:ind w:left="43"/>
              <w:contextualSpacing/>
              <w:jc w:val="center"/>
              <w:rPr>
                <w:rFonts w:ascii="宋体" w:hAnsi="宋体" w:cs="仿宋_GB2312"/>
                <w:color w:val="auto"/>
                <w:sz w:val="24"/>
                <w:highlight w:val="none"/>
              </w:rPr>
            </w:pPr>
          </w:p>
        </w:tc>
      </w:tr>
      <w:tr w14:paraId="0D0E18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178" w:type="dxa"/>
            <w:tcBorders>
              <w:top w:val="single" w:color="auto" w:sz="4" w:space="0"/>
              <w:left w:val="single" w:color="auto" w:sz="4" w:space="0"/>
              <w:bottom w:val="single" w:color="auto" w:sz="4" w:space="0"/>
              <w:right w:val="single" w:color="auto" w:sz="4" w:space="0"/>
            </w:tcBorders>
            <w:vAlign w:val="center"/>
          </w:tcPr>
          <w:p w14:paraId="22D66374">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付款方式、时间和条件</w:t>
            </w:r>
          </w:p>
        </w:tc>
        <w:tc>
          <w:tcPr>
            <w:tcW w:w="2668" w:type="dxa"/>
            <w:tcBorders>
              <w:top w:val="single" w:color="auto" w:sz="4" w:space="0"/>
              <w:left w:val="single" w:color="auto" w:sz="4" w:space="0"/>
              <w:bottom w:val="single" w:color="auto" w:sz="4" w:space="0"/>
              <w:right w:val="single" w:color="auto" w:sz="4" w:space="0"/>
            </w:tcBorders>
            <w:vAlign w:val="center"/>
          </w:tcPr>
          <w:p w14:paraId="15B20BF2">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6A80FC3B">
            <w:pPr>
              <w:spacing w:line="360" w:lineRule="auto"/>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715961E9">
            <w:pPr>
              <w:spacing w:line="360" w:lineRule="auto"/>
              <w:contextualSpacing/>
              <w:jc w:val="center"/>
              <w:rPr>
                <w:rFonts w:ascii="宋体" w:hAnsi="宋体" w:cs="仿宋_GB2312"/>
                <w:color w:val="auto"/>
                <w:sz w:val="24"/>
                <w:highlight w:val="none"/>
              </w:rPr>
            </w:pPr>
          </w:p>
        </w:tc>
      </w:tr>
      <w:tr w14:paraId="5A819A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178" w:type="dxa"/>
            <w:tcBorders>
              <w:top w:val="single" w:color="auto" w:sz="4" w:space="0"/>
              <w:left w:val="single" w:color="auto" w:sz="4" w:space="0"/>
              <w:bottom w:val="single" w:color="auto" w:sz="4" w:space="0"/>
              <w:right w:val="single" w:color="auto" w:sz="4" w:space="0"/>
            </w:tcBorders>
            <w:vAlign w:val="center"/>
          </w:tcPr>
          <w:p w14:paraId="70DC9B71">
            <w:pPr>
              <w:spacing w:line="360" w:lineRule="auto"/>
              <w:contextualSpacing/>
              <w:jc w:val="center"/>
              <w:rPr>
                <w:rFonts w:ascii="宋体" w:hAnsi="宋体" w:cs="仿宋_GB2312"/>
                <w:color w:val="auto"/>
                <w:sz w:val="24"/>
                <w:highlight w:val="none"/>
              </w:rPr>
            </w:pPr>
            <w:r>
              <w:rPr>
                <w:rFonts w:hint="eastAsia" w:ascii="宋体" w:hAnsi="宋体" w:cs="仿宋_GB2312"/>
                <w:color w:val="auto"/>
                <w:sz w:val="24"/>
                <w:highlight w:val="none"/>
              </w:rPr>
              <w:t>…</w:t>
            </w:r>
          </w:p>
        </w:tc>
        <w:tc>
          <w:tcPr>
            <w:tcW w:w="2668" w:type="dxa"/>
            <w:tcBorders>
              <w:top w:val="single" w:color="auto" w:sz="4" w:space="0"/>
              <w:left w:val="single" w:color="auto" w:sz="4" w:space="0"/>
              <w:bottom w:val="single" w:color="auto" w:sz="4" w:space="0"/>
              <w:right w:val="single" w:color="auto" w:sz="4" w:space="0"/>
            </w:tcBorders>
            <w:vAlign w:val="center"/>
          </w:tcPr>
          <w:p w14:paraId="5A4430FD">
            <w:pPr>
              <w:spacing w:line="360" w:lineRule="auto"/>
              <w:contextualSpacing/>
              <w:jc w:val="center"/>
              <w:rPr>
                <w:rFonts w:ascii="宋体" w:hAnsi="宋体" w:cs="仿宋_GB2312"/>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14:paraId="05184C54">
            <w:pPr>
              <w:spacing w:line="360" w:lineRule="auto"/>
              <w:contextualSpacing/>
              <w:jc w:val="center"/>
              <w:rPr>
                <w:rFonts w:ascii="宋体" w:hAnsi="宋体" w:cs="仿宋_GB2312"/>
                <w:color w:val="auto"/>
                <w:sz w:val="24"/>
                <w:highlight w:val="none"/>
              </w:rPr>
            </w:pPr>
          </w:p>
        </w:tc>
        <w:tc>
          <w:tcPr>
            <w:tcW w:w="2112" w:type="dxa"/>
            <w:tcBorders>
              <w:top w:val="single" w:color="auto" w:sz="4" w:space="0"/>
              <w:left w:val="single" w:color="auto" w:sz="4" w:space="0"/>
              <w:bottom w:val="single" w:color="auto" w:sz="4" w:space="0"/>
              <w:right w:val="single" w:color="auto" w:sz="4" w:space="0"/>
            </w:tcBorders>
            <w:vAlign w:val="center"/>
          </w:tcPr>
          <w:p w14:paraId="1034F402">
            <w:pPr>
              <w:spacing w:line="360" w:lineRule="auto"/>
              <w:contextualSpacing/>
              <w:jc w:val="center"/>
              <w:rPr>
                <w:rFonts w:ascii="宋体" w:hAnsi="宋体" w:cs="仿宋_GB2312"/>
                <w:color w:val="auto"/>
                <w:sz w:val="24"/>
                <w:highlight w:val="none"/>
              </w:rPr>
            </w:pPr>
          </w:p>
        </w:tc>
      </w:tr>
    </w:tbl>
    <w:p w14:paraId="391B00DC">
      <w:pPr>
        <w:pStyle w:val="8"/>
        <w:spacing w:after="0" w:line="360" w:lineRule="auto"/>
        <w:contextualSpacing/>
        <w:rPr>
          <w:rFonts w:ascii="宋体" w:hAnsi="宋体"/>
          <w:color w:val="auto"/>
          <w:kern w:val="0"/>
          <w:sz w:val="24"/>
          <w:szCs w:val="24"/>
          <w:highlight w:val="none"/>
        </w:rPr>
      </w:pPr>
      <w:r>
        <w:rPr>
          <w:rFonts w:hint="eastAsia" w:ascii="宋体" w:hAnsi="宋体"/>
          <w:color w:val="auto"/>
          <w:kern w:val="0"/>
          <w:sz w:val="24"/>
          <w:szCs w:val="24"/>
          <w:highlight w:val="none"/>
        </w:rPr>
        <w:t>注：</w:t>
      </w:r>
    </w:p>
    <w:p w14:paraId="5BFCBF7A">
      <w:pPr>
        <w:pStyle w:val="8"/>
        <w:spacing w:after="0" w:line="360" w:lineRule="auto"/>
        <w:contextualSpacing/>
        <w:rPr>
          <w:rFonts w:ascii="宋体" w:hAnsi="宋体"/>
          <w:color w:val="auto"/>
          <w:kern w:val="0"/>
          <w:sz w:val="24"/>
          <w:szCs w:val="24"/>
          <w:highlight w:val="none"/>
        </w:rPr>
      </w:pPr>
      <w:r>
        <w:rPr>
          <w:rFonts w:hint="eastAsia" w:ascii="宋体" w:hAnsi="宋体"/>
          <w:color w:val="auto"/>
          <w:kern w:val="0"/>
          <w:sz w:val="24"/>
          <w:szCs w:val="24"/>
          <w:highlight w:val="none"/>
        </w:rPr>
        <w:t>1. 说明：应对照磋商文件“第三章 采购需求”中的商务条款逐条作出明确响应，并作出偏离说明。</w:t>
      </w:r>
    </w:p>
    <w:p w14:paraId="0A4A9712">
      <w:pPr>
        <w:spacing w:line="360" w:lineRule="auto"/>
        <w:contextualSpacing/>
        <w:jc w:val="left"/>
        <w:rPr>
          <w:rFonts w:ascii="宋体" w:hAnsi="宋体" w:cs="仿宋_GB2312"/>
          <w:color w:val="auto"/>
          <w:sz w:val="24"/>
          <w:highlight w:val="none"/>
          <w:u w:val="single"/>
        </w:rPr>
      </w:pPr>
      <w:r>
        <w:rPr>
          <w:rFonts w:hint="eastAsia" w:ascii="宋体" w:hAnsi="宋体"/>
          <w:color w:val="auto"/>
          <w:kern w:val="0"/>
          <w:sz w:val="24"/>
          <w:highlight w:val="none"/>
        </w:rPr>
        <w:t>2.供应商应根据自身的承诺，对照磋商文件要求在“偏离说明”中注明“正偏离”、“负偏离”或者“无偏离”。既不属于“正偏离”也不属于“负偏离”即为“无偏离”。</w:t>
      </w:r>
    </w:p>
    <w:p w14:paraId="6A9248A8">
      <w:pPr>
        <w:spacing w:line="360" w:lineRule="auto"/>
        <w:ind w:right="-817" w:rightChars="-389"/>
        <w:contextualSpacing/>
        <w:rPr>
          <w:rFonts w:ascii="宋体" w:hAnsi="宋体" w:cs="仿宋_GB2312"/>
          <w:color w:val="auto"/>
          <w:sz w:val="24"/>
          <w:highlight w:val="none"/>
        </w:rPr>
      </w:pPr>
    </w:p>
    <w:p w14:paraId="08FA3AF0">
      <w:pPr>
        <w:spacing w:line="360" w:lineRule="auto"/>
        <w:ind w:right="-817" w:rightChars="-389" w:firstLine="960" w:firstLineChars="400"/>
        <w:contextualSpacing/>
        <w:rPr>
          <w:rFonts w:ascii="宋体" w:hAnsi="宋体" w:cs="仿宋_GB2312"/>
          <w:color w:val="auto"/>
          <w:sz w:val="24"/>
          <w:highlight w:val="none"/>
        </w:rPr>
      </w:pPr>
      <w:r>
        <w:rPr>
          <w:rFonts w:hint="eastAsia" w:ascii="宋体" w:hAnsi="宋体" w:cs="仿宋_GB2312"/>
          <w:color w:val="auto"/>
          <w:sz w:val="24"/>
          <w:highlight w:val="none"/>
        </w:rPr>
        <w:t xml:space="preserve">法定代表人或者委托代理人（签字）：                    </w:t>
      </w:r>
    </w:p>
    <w:p w14:paraId="02B3BDDE">
      <w:pPr>
        <w:spacing w:line="360" w:lineRule="auto"/>
        <w:ind w:right="-817" w:rightChars="-389" w:firstLine="2640" w:firstLineChars="11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供应商（盖公章）：      </w:t>
      </w:r>
    </w:p>
    <w:p w14:paraId="4487955C">
      <w:pPr>
        <w:spacing w:line="360" w:lineRule="auto"/>
        <w:ind w:right="-817" w:rightChars="-389" w:firstLine="4080" w:firstLineChars="1700"/>
        <w:contextualSpacing/>
        <w:rPr>
          <w:rFonts w:ascii="仿宋_GB2312" w:hAnsi="仿宋_GB2312" w:eastAsia="仿宋_GB2312" w:cs="仿宋_GB2312"/>
          <w:b/>
          <w:color w:val="auto"/>
          <w:sz w:val="32"/>
          <w:szCs w:val="32"/>
          <w:highlight w:val="none"/>
        </w:rPr>
      </w:pPr>
      <w:r>
        <w:rPr>
          <w:rFonts w:hint="eastAsia" w:ascii="宋体" w:hAnsi="宋体" w:cs="仿宋_GB2312"/>
          <w:color w:val="auto"/>
          <w:sz w:val="24"/>
          <w:highlight w:val="none"/>
        </w:rPr>
        <w:t>日期：   年   月   日</w:t>
      </w:r>
    </w:p>
    <w:p w14:paraId="2079CE9B">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7BF7D52A">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6DB9A9AF">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06AFA17A">
      <w:pPr>
        <w:adjustRightInd w:val="0"/>
        <w:snapToGrid w:val="0"/>
        <w:spacing w:line="520" w:lineRule="exact"/>
        <w:ind w:firstLine="7040" w:firstLineChars="1600"/>
        <w:jc w:val="center"/>
        <w:rPr>
          <w:rFonts w:ascii="方正小标宋简体" w:hAnsi="方正小标宋简体" w:eastAsia="方正小标宋简体" w:cs="方正小标宋简体"/>
          <w:bCs/>
          <w:color w:val="auto"/>
          <w:sz w:val="44"/>
          <w:szCs w:val="44"/>
          <w:highlight w:val="none"/>
        </w:rPr>
      </w:pPr>
    </w:p>
    <w:p w14:paraId="1AD28563">
      <w:pPr>
        <w:adjustRightInd w:val="0"/>
        <w:snapToGrid w:val="0"/>
        <w:spacing w:line="520" w:lineRule="exact"/>
        <w:rPr>
          <w:rFonts w:ascii="宋体" w:hAnsi="宋体"/>
          <w:color w:val="auto"/>
          <w:szCs w:val="21"/>
          <w:highlight w:val="none"/>
          <w:u w:val="single"/>
        </w:rPr>
      </w:pPr>
    </w:p>
    <w:p w14:paraId="1953E60F">
      <w:pPr>
        <w:adjustRightInd w:val="0"/>
        <w:snapToGrid w:val="0"/>
        <w:spacing w:line="300" w:lineRule="auto"/>
        <w:jc w:val="center"/>
        <w:rPr>
          <w:rFonts w:ascii="方正小标宋简体" w:hAnsi="方正小标宋简体" w:eastAsia="方正小标宋简体" w:cs="方正小标宋简体"/>
          <w:bCs/>
          <w:color w:val="auto"/>
          <w:sz w:val="44"/>
          <w:szCs w:val="44"/>
          <w:highlight w:val="none"/>
        </w:rPr>
      </w:pPr>
      <w:r>
        <w:rPr>
          <w:rFonts w:ascii="方正小标宋简体" w:hAnsi="方正小标宋简体" w:eastAsia="方正小标宋简体" w:cs="方正小标宋简体"/>
          <w:bCs/>
          <w:color w:val="auto"/>
          <w:sz w:val="44"/>
          <w:szCs w:val="44"/>
          <w:highlight w:val="none"/>
        </w:rPr>
        <w:br w:type="page"/>
      </w:r>
      <w:r>
        <w:rPr>
          <w:rFonts w:hint="eastAsia" w:ascii="方正小标宋简体" w:hAnsi="方正小标宋简体" w:eastAsia="方正小标宋简体" w:cs="方正小标宋简体"/>
          <w:bCs/>
          <w:color w:val="auto"/>
          <w:sz w:val="44"/>
          <w:szCs w:val="44"/>
          <w:highlight w:val="none"/>
        </w:rPr>
        <w:t>服务需求偏离表</w:t>
      </w:r>
    </w:p>
    <w:p w14:paraId="42AD7EAD">
      <w:pPr>
        <w:spacing w:line="520" w:lineRule="exact"/>
        <w:rPr>
          <w:rFonts w:ascii="仿宋_GB2312" w:hAnsi="仿宋_GB2312" w:eastAsia="仿宋_GB2312" w:cs="仿宋_GB2312"/>
          <w:color w:val="auto"/>
          <w:sz w:val="32"/>
          <w:szCs w:val="32"/>
          <w:highlight w:val="none"/>
        </w:rPr>
      </w:pPr>
    </w:p>
    <w:p w14:paraId="14E199A7">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采购项目编号：</w:t>
      </w:r>
      <w:r>
        <w:rPr>
          <w:rFonts w:hint="eastAsia" w:ascii="宋体" w:hAnsi="宋体" w:cs="仿宋_GB2312"/>
          <w:color w:val="auto"/>
          <w:sz w:val="24"/>
          <w:highlight w:val="none"/>
          <w:u w:val="single"/>
        </w:rPr>
        <w:t xml:space="preserve">                 </w:t>
      </w:r>
    </w:p>
    <w:p w14:paraId="2DD0573D">
      <w:pPr>
        <w:spacing w:line="360" w:lineRule="auto"/>
        <w:contextualSpacing/>
        <w:rPr>
          <w:rFonts w:ascii="宋体" w:hAnsi="宋体" w:cs="仿宋_GB2312"/>
          <w:color w:val="auto"/>
          <w:sz w:val="24"/>
          <w:highlight w:val="none"/>
        </w:rPr>
      </w:pPr>
      <w:r>
        <w:rPr>
          <w:rFonts w:hint="eastAsia" w:ascii="宋体" w:hAnsi="宋体" w:cs="仿宋_GB2312"/>
          <w:color w:val="auto"/>
          <w:sz w:val="24"/>
          <w:highlight w:val="none"/>
        </w:rPr>
        <w:t>采购项目名称：</w:t>
      </w:r>
      <w:r>
        <w:rPr>
          <w:rFonts w:hint="eastAsia" w:ascii="宋体" w:hAnsi="宋体" w:cs="仿宋_GB2312"/>
          <w:color w:val="auto"/>
          <w:sz w:val="24"/>
          <w:highlight w:val="none"/>
          <w:u w:val="single"/>
        </w:rPr>
        <w:t xml:space="preserve">                 </w:t>
      </w:r>
    </w:p>
    <w:p w14:paraId="2CAF8226">
      <w:pPr>
        <w:spacing w:line="360" w:lineRule="auto"/>
        <w:contextualSpacing/>
        <w:rPr>
          <w:rFonts w:ascii="宋体" w:hAnsi="宋体" w:cs="仿宋_GB2312"/>
          <w:color w:val="auto"/>
          <w:sz w:val="24"/>
          <w:highlight w:val="none"/>
          <w:u w:val="single"/>
        </w:rPr>
      </w:pPr>
      <w:r>
        <w:rPr>
          <w:rFonts w:hint="eastAsia" w:ascii="宋体" w:hAnsi="宋体" w:cs="仿宋_GB2312"/>
          <w:color w:val="auto"/>
          <w:sz w:val="24"/>
          <w:highlight w:val="none"/>
        </w:rPr>
        <w:t>分标号：</w:t>
      </w:r>
      <w:r>
        <w:rPr>
          <w:rFonts w:hint="eastAsia" w:ascii="宋体" w:hAnsi="宋体" w:cs="仿宋_GB2312"/>
          <w:color w:val="auto"/>
          <w:sz w:val="24"/>
          <w:highlight w:val="none"/>
          <w:u w:val="single"/>
        </w:rPr>
        <w:t xml:space="preserve">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0"/>
        <w:gridCol w:w="900"/>
        <w:gridCol w:w="2989"/>
        <w:gridCol w:w="2690"/>
        <w:gridCol w:w="1467"/>
      </w:tblGrid>
      <w:tr w14:paraId="0E900A3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00" w:type="dxa"/>
            <w:vAlign w:val="center"/>
          </w:tcPr>
          <w:p w14:paraId="6420AE1D">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99" w:name="_Toc254970588"/>
            <w:bookmarkStart w:id="100" w:name="_Toc173211900"/>
            <w:bookmarkStart w:id="101" w:name="_Toc173066401"/>
            <w:bookmarkStart w:id="102" w:name="_Toc295404981"/>
            <w:bookmarkStart w:id="103" w:name="_Toc373333689"/>
            <w:bookmarkStart w:id="104" w:name="_Toc301781611"/>
            <w:bookmarkStart w:id="105" w:name="_Toc383699906"/>
            <w:bookmarkStart w:id="106" w:name="_Toc297193185"/>
            <w:bookmarkStart w:id="107" w:name="_Toc254970729"/>
            <w:r>
              <w:rPr>
                <w:rFonts w:hint="eastAsia" w:ascii="宋体" w:hAnsi="宋体" w:eastAsia="宋体" w:cs="仿宋_GB2312"/>
                <w:color w:val="auto"/>
                <w:kern w:val="2"/>
                <w:sz w:val="24"/>
                <w:szCs w:val="24"/>
                <w:highlight w:val="none"/>
              </w:rPr>
              <w:t>序号</w:t>
            </w:r>
            <w:bookmarkEnd w:id="99"/>
            <w:bookmarkEnd w:id="100"/>
            <w:bookmarkEnd w:id="101"/>
            <w:bookmarkEnd w:id="102"/>
            <w:bookmarkEnd w:id="103"/>
            <w:bookmarkEnd w:id="104"/>
            <w:bookmarkEnd w:id="105"/>
            <w:bookmarkEnd w:id="106"/>
            <w:bookmarkEnd w:id="107"/>
          </w:p>
        </w:tc>
        <w:tc>
          <w:tcPr>
            <w:tcW w:w="900" w:type="dxa"/>
            <w:tcBorders>
              <w:right w:val="single" w:color="auto" w:sz="4" w:space="0"/>
            </w:tcBorders>
            <w:vAlign w:val="center"/>
          </w:tcPr>
          <w:p w14:paraId="54C48538">
            <w:pPr>
              <w:pStyle w:val="10"/>
              <w:spacing w:line="360" w:lineRule="auto"/>
              <w:ind w:firstLine="0" w:firstLineChars="0"/>
              <w:contextualSpacing/>
              <w:jc w:val="center"/>
              <w:rPr>
                <w:rFonts w:ascii="宋体" w:hAnsi="宋体" w:eastAsia="宋体" w:cs="仿宋_GB2312"/>
                <w:color w:val="auto"/>
                <w:kern w:val="2"/>
                <w:sz w:val="24"/>
                <w:szCs w:val="24"/>
                <w:highlight w:val="none"/>
              </w:rPr>
            </w:pPr>
            <w:r>
              <w:rPr>
                <w:rFonts w:hint="eastAsia" w:ascii="宋体" w:hAnsi="宋体" w:eastAsia="宋体" w:cs="仿宋_GB2312"/>
                <w:color w:val="auto"/>
                <w:kern w:val="2"/>
                <w:sz w:val="24"/>
                <w:szCs w:val="24"/>
                <w:highlight w:val="none"/>
              </w:rPr>
              <w:t>名称</w:t>
            </w:r>
          </w:p>
        </w:tc>
        <w:tc>
          <w:tcPr>
            <w:tcW w:w="2989" w:type="dxa"/>
            <w:tcBorders>
              <w:left w:val="single" w:color="auto" w:sz="4" w:space="0"/>
            </w:tcBorders>
            <w:vAlign w:val="center"/>
          </w:tcPr>
          <w:p w14:paraId="1237AAC2">
            <w:pPr>
              <w:pStyle w:val="10"/>
              <w:spacing w:line="360" w:lineRule="auto"/>
              <w:ind w:firstLine="0" w:firstLineChars="0"/>
              <w:contextualSpacing/>
              <w:jc w:val="center"/>
              <w:rPr>
                <w:rFonts w:ascii="宋体" w:hAnsi="宋体" w:eastAsia="宋体" w:cs="仿宋_GB2312"/>
                <w:color w:val="auto"/>
                <w:kern w:val="2"/>
                <w:sz w:val="24"/>
                <w:szCs w:val="24"/>
                <w:highlight w:val="none"/>
              </w:rPr>
            </w:pPr>
            <w:r>
              <w:rPr>
                <w:rFonts w:hint="eastAsia" w:ascii="宋体" w:hAnsi="宋体" w:eastAsia="宋体" w:cs="仿宋_GB2312"/>
                <w:color w:val="auto"/>
                <w:kern w:val="2"/>
                <w:sz w:val="24"/>
                <w:szCs w:val="24"/>
                <w:highlight w:val="none"/>
              </w:rPr>
              <w:t>磋商文件服务需求</w:t>
            </w:r>
          </w:p>
        </w:tc>
        <w:tc>
          <w:tcPr>
            <w:tcW w:w="2690" w:type="dxa"/>
            <w:vAlign w:val="center"/>
          </w:tcPr>
          <w:p w14:paraId="7C9EA027">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08" w:name="_Toc297193187"/>
            <w:bookmarkStart w:id="109" w:name="_Toc173066403"/>
            <w:bookmarkStart w:id="110" w:name="_Toc383699908"/>
            <w:bookmarkStart w:id="111" w:name="_Toc254970731"/>
            <w:bookmarkStart w:id="112" w:name="_Toc173211902"/>
            <w:bookmarkStart w:id="113" w:name="_Toc254970590"/>
            <w:bookmarkStart w:id="114" w:name="_Toc295404983"/>
            <w:bookmarkStart w:id="115" w:name="_Toc301781613"/>
            <w:bookmarkStart w:id="116" w:name="_Toc373333691"/>
            <w:r>
              <w:rPr>
                <w:rFonts w:hint="eastAsia" w:ascii="宋体" w:hAnsi="宋体" w:eastAsia="宋体" w:cs="仿宋_GB2312"/>
                <w:color w:val="auto"/>
                <w:kern w:val="2"/>
                <w:sz w:val="24"/>
                <w:szCs w:val="24"/>
                <w:highlight w:val="none"/>
              </w:rPr>
              <w:t>竞标响应</w:t>
            </w:r>
            <w:bookmarkEnd w:id="108"/>
            <w:bookmarkEnd w:id="109"/>
            <w:bookmarkEnd w:id="110"/>
            <w:bookmarkEnd w:id="111"/>
            <w:bookmarkEnd w:id="112"/>
            <w:bookmarkEnd w:id="113"/>
            <w:bookmarkEnd w:id="114"/>
            <w:bookmarkEnd w:id="115"/>
            <w:bookmarkEnd w:id="116"/>
          </w:p>
        </w:tc>
        <w:tc>
          <w:tcPr>
            <w:tcW w:w="1467" w:type="dxa"/>
            <w:vAlign w:val="center"/>
          </w:tcPr>
          <w:p w14:paraId="6C72E38A">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17" w:name="_Toc254970732"/>
            <w:bookmarkStart w:id="118" w:name="_Toc295404984"/>
            <w:bookmarkStart w:id="119" w:name="_Toc373333692"/>
            <w:bookmarkStart w:id="120" w:name="_Toc383699909"/>
            <w:bookmarkStart w:id="121" w:name="_Toc173066404"/>
            <w:bookmarkStart w:id="122" w:name="_Toc254970591"/>
            <w:bookmarkStart w:id="123" w:name="_Toc301781614"/>
            <w:bookmarkStart w:id="124" w:name="_Toc297193188"/>
            <w:bookmarkStart w:id="125" w:name="_Toc173211903"/>
            <w:r>
              <w:rPr>
                <w:rFonts w:hint="eastAsia" w:ascii="宋体" w:hAnsi="宋体" w:eastAsia="宋体" w:cs="仿宋_GB2312"/>
                <w:color w:val="auto"/>
                <w:kern w:val="2"/>
                <w:sz w:val="24"/>
                <w:szCs w:val="24"/>
                <w:highlight w:val="none"/>
              </w:rPr>
              <w:t>偏离</w:t>
            </w:r>
            <w:bookmarkEnd w:id="117"/>
            <w:bookmarkEnd w:id="118"/>
            <w:bookmarkEnd w:id="119"/>
            <w:bookmarkEnd w:id="120"/>
            <w:bookmarkEnd w:id="121"/>
            <w:bookmarkEnd w:id="122"/>
            <w:bookmarkEnd w:id="123"/>
            <w:bookmarkEnd w:id="124"/>
            <w:bookmarkEnd w:id="125"/>
            <w:bookmarkStart w:id="126" w:name="_Toc383699910"/>
            <w:bookmarkStart w:id="127" w:name="_Toc173066405"/>
            <w:bookmarkStart w:id="128" w:name="_Toc295404985"/>
            <w:bookmarkStart w:id="129" w:name="_Toc254970733"/>
            <w:bookmarkStart w:id="130" w:name="_Toc301781615"/>
            <w:bookmarkStart w:id="131" w:name="_Toc373333693"/>
            <w:bookmarkStart w:id="132" w:name="_Toc297193189"/>
            <w:bookmarkStart w:id="133" w:name="_Toc254970592"/>
            <w:bookmarkStart w:id="134" w:name="_Toc173211904"/>
            <w:r>
              <w:rPr>
                <w:rFonts w:hint="eastAsia" w:ascii="宋体" w:hAnsi="宋体" w:eastAsia="宋体" w:cs="仿宋_GB2312"/>
                <w:color w:val="auto"/>
                <w:kern w:val="2"/>
                <w:sz w:val="24"/>
                <w:szCs w:val="24"/>
                <w:highlight w:val="none"/>
              </w:rPr>
              <w:t>说明</w:t>
            </w:r>
            <w:bookmarkEnd w:id="126"/>
            <w:bookmarkEnd w:id="127"/>
            <w:bookmarkEnd w:id="128"/>
            <w:bookmarkEnd w:id="129"/>
            <w:bookmarkEnd w:id="130"/>
            <w:bookmarkEnd w:id="131"/>
            <w:bookmarkEnd w:id="132"/>
            <w:bookmarkEnd w:id="133"/>
            <w:bookmarkEnd w:id="134"/>
          </w:p>
        </w:tc>
      </w:tr>
      <w:tr w14:paraId="60F918A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00" w:type="dxa"/>
            <w:vAlign w:val="center"/>
          </w:tcPr>
          <w:p w14:paraId="46E494CE">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35" w:name="_Toc301781616"/>
            <w:bookmarkStart w:id="136" w:name="_Toc173066406"/>
            <w:bookmarkStart w:id="137" w:name="_Toc297193190"/>
            <w:bookmarkStart w:id="138" w:name="_Toc295404986"/>
            <w:bookmarkStart w:id="139" w:name="_Toc254970734"/>
            <w:bookmarkStart w:id="140" w:name="_Toc254970593"/>
            <w:bookmarkStart w:id="141" w:name="_Toc383699911"/>
            <w:bookmarkStart w:id="142" w:name="_Toc173211905"/>
            <w:bookmarkStart w:id="143" w:name="_Toc373333694"/>
            <w:r>
              <w:rPr>
                <w:rFonts w:hint="eastAsia" w:ascii="宋体" w:hAnsi="宋体" w:eastAsia="宋体" w:cs="仿宋_GB2312"/>
                <w:color w:val="auto"/>
                <w:kern w:val="2"/>
                <w:sz w:val="24"/>
                <w:szCs w:val="24"/>
                <w:highlight w:val="none"/>
              </w:rPr>
              <w:t>1</w:t>
            </w:r>
            <w:bookmarkEnd w:id="135"/>
            <w:bookmarkEnd w:id="136"/>
            <w:bookmarkEnd w:id="137"/>
            <w:bookmarkEnd w:id="138"/>
            <w:bookmarkEnd w:id="139"/>
            <w:bookmarkEnd w:id="140"/>
            <w:bookmarkEnd w:id="141"/>
            <w:bookmarkEnd w:id="142"/>
            <w:bookmarkEnd w:id="143"/>
          </w:p>
        </w:tc>
        <w:tc>
          <w:tcPr>
            <w:tcW w:w="900" w:type="dxa"/>
            <w:tcBorders>
              <w:right w:val="single" w:color="auto" w:sz="4" w:space="0"/>
            </w:tcBorders>
            <w:vAlign w:val="center"/>
          </w:tcPr>
          <w:p w14:paraId="4A2D7ED9">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989" w:type="dxa"/>
            <w:tcBorders>
              <w:left w:val="single" w:color="auto" w:sz="4" w:space="0"/>
            </w:tcBorders>
            <w:vAlign w:val="center"/>
          </w:tcPr>
          <w:p w14:paraId="4E6826C5">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690" w:type="dxa"/>
            <w:vAlign w:val="center"/>
          </w:tcPr>
          <w:p w14:paraId="0CA4288A">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67" w:type="dxa"/>
            <w:vAlign w:val="center"/>
          </w:tcPr>
          <w:p w14:paraId="10B3E8DD">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r>
      <w:tr w14:paraId="077323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00" w:type="dxa"/>
            <w:vAlign w:val="center"/>
          </w:tcPr>
          <w:p w14:paraId="4F330173">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44" w:name="_Toc254970594"/>
            <w:bookmarkStart w:id="145" w:name="_Toc373333695"/>
            <w:bookmarkStart w:id="146" w:name="_Toc173066407"/>
            <w:bookmarkStart w:id="147" w:name="_Toc301781617"/>
            <w:bookmarkStart w:id="148" w:name="_Toc297193191"/>
            <w:bookmarkStart w:id="149" w:name="_Toc254970735"/>
            <w:bookmarkStart w:id="150" w:name="_Toc173211906"/>
            <w:bookmarkStart w:id="151" w:name="_Toc295404987"/>
            <w:bookmarkStart w:id="152" w:name="_Toc383699912"/>
            <w:r>
              <w:rPr>
                <w:rFonts w:hint="eastAsia" w:ascii="宋体" w:hAnsi="宋体" w:eastAsia="宋体" w:cs="仿宋_GB2312"/>
                <w:color w:val="auto"/>
                <w:kern w:val="2"/>
                <w:sz w:val="24"/>
                <w:szCs w:val="24"/>
                <w:highlight w:val="none"/>
              </w:rPr>
              <w:t>2</w:t>
            </w:r>
            <w:bookmarkEnd w:id="144"/>
            <w:bookmarkEnd w:id="145"/>
            <w:bookmarkEnd w:id="146"/>
            <w:bookmarkEnd w:id="147"/>
            <w:bookmarkEnd w:id="148"/>
            <w:bookmarkEnd w:id="149"/>
            <w:bookmarkEnd w:id="150"/>
            <w:bookmarkEnd w:id="151"/>
            <w:bookmarkEnd w:id="152"/>
          </w:p>
        </w:tc>
        <w:tc>
          <w:tcPr>
            <w:tcW w:w="900" w:type="dxa"/>
            <w:tcBorders>
              <w:right w:val="single" w:color="auto" w:sz="4" w:space="0"/>
            </w:tcBorders>
            <w:vAlign w:val="center"/>
          </w:tcPr>
          <w:p w14:paraId="72CB899E">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989" w:type="dxa"/>
            <w:tcBorders>
              <w:left w:val="single" w:color="auto" w:sz="4" w:space="0"/>
            </w:tcBorders>
            <w:vAlign w:val="center"/>
          </w:tcPr>
          <w:p w14:paraId="056B615F">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690" w:type="dxa"/>
            <w:vAlign w:val="center"/>
          </w:tcPr>
          <w:p w14:paraId="03832D71">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67" w:type="dxa"/>
            <w:vAlign w:val="center"/>
          </w:tcPr>
          <w:p w14:paraId="5A72F6CE">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r>
      <w:tr w14:paraId="2AA4CA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00" w:type="dxa"/>
            <w:vAlign w:val="center"/>
          </w:tcPr>
          <w:p w14:paraId="6733A5C2">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53" w:name="_Toc301781618"/>
            <w:bookmarkStart w:id="154" w:name="_Toc295404988"/>
            <w:bookmarkStart w:id="155" w:name="_Toc297193192"/>
            <w:bookmarkStart w:id="156" w:name="_Toc173066408"/>
            <w:bookmarkStart w:id="157" w:name="_Toc383699913"/>
            <w:bookmarkStart w:id="158" w:name="_Toc373333696"/>
            <w:bookmarkStart w:id="159" w:name="_Toc254970736"/>
            <w:bookmarkStart w:id="160" w:name="_Toc173211907"/>
            <w:bookmarkStart w:id="161" w:name="_Toc254970595"/>
            <w:r>
              <w:rPr>
                <w:rFonts w:hint="eastAsia" w:ascii="宋体" w:hAnsi="宋体" w:eastAsia="宋体" w:cs="仿宋_GB2312"/>
                <w:color w:val="auto"/>
                <w:kern w:val="2"/>
                <w:sz w:val="24"/>
                <w:szCs w:val="24"/>
                <w:highlight w:val="none"/>
              </w:rPr>
              <w:t>3</w:t>
            </w:r>
            <w:bookmarkEnd w:id="153"/>
            <w:bookmarkEnd w:id="154"/>
            <w:bookmarkEnd w:id="155"/>
            <w:bookmarkEnd w:id="156"/>
            <w:bookmarkEnd w:id="157"/>
            <w:bookmarkEnd w:id="158"/>
            <w:bookmarkEnd w:id="159"/>
            <w:bookmarkEnd w:id="160"/>
            <w:bookmarkEnd w:id="161"/>
          </w:p>
        </w:tc>
        <w:tc>
          <w:tcPr>
            <w:tcW w:w="900" w:type="dxa"/>
            <w:tcBorders>
              <w:right w:val="single" w:color="auto" w:sz="4" w:space="0"/>
            </w:tcBorders>
            <w:vAlign w:val="center"/>
          </w:tcPr>
          <w:p w14:paraId="436AE076">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989" w:type="dxa"/>
            <w:tcBorders>
              <w:left w:val="single" w:color="auto" w:sz="4" w:space="0"/>
            </w:tcBorders>
            <w:vAlign w:val="center"/>
          </w:tcPr>
          <w:p w14:paraId="7631F8AA">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690" w:type="dxa"/>
            <w:vAlign w:val="center"/>
          </w:tcPr>
          <w:p w14:paraId="761D7DE0">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67" w:type="dxa"/>
            <w:vAlign w:val="center"/>
          </w:tcPr>
          <w:p w14:paraId="6472FEC5">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r>
      <w:tr w14:paraId="7734FB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00" w:type="dxa"/>
            <w:vAlign w:val="center"/>
          </w:tcPr>
          <w:p w14:paraId="0EF098D4">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62" w:name="_Toc295404989"/>
            <w:bookmarkStart w:id="163" w:name="_Toc383699914"/>
            <w:bookmarkStart w:id="164" w:name="_Toc254970737"/>
            <w:bookmarkStart w:id="165" w:name="_Toc254970596"/>
            <w:bookmarkStart w:id="166" w:name="_Toc297193193"/>
            <w:bookmarkStart w:id="167" w:name="_Toc301781619"/>
            <w:bookmarkStart w:id="168" w:name="_Toc373333697"/>
            <w:bookmarkStart w:id="169" w:name="_Toc173211908"/>
            <w:bookmarkStart w:id="170" w:name="_Toc173066409"/>
            <w:r>
              <w:rPr>
                <w:rFonts w:hint="eastAsia" w:ascii="宋体" w:hAnsi="宋体" w:eastAsia="宋体" w:cs="仿宋_GB2312"/>
                <w:color w:val="auto"/>
                <w:kern w:val="2"/>
                <w:sz w:val="24"/>
                <w:szCs w:val="24"/>
                <w:highlight w:val="none"/>
              </w:rPr>
              <w:t>4</w:t>
            </w:r>
            <w:bookmarkEnd w:id="162"/>
            <w:bookmarkEnd w:id="163"/>
            <w:bookmarkEnd w:id="164"/>
            <w:bookmarkEnd w:id="165"/>
            <w:bookmarkEnd w:id="166"/>
            <w:bookmarkEnd w:id="167"/>
            <w:bookmarkEnd w:id="168"/>
            <w:bookmarkEnd w:id="169"/>
            <w:bookmarkEnd w:id="170"/>
          </w:p>
        </w:tc>
        <w:tc>
          <w:tcPr>
            <w:tcW w:w="900" w:type="dxa"/>
            <w:tcBorders>
              <w:right w:val="single" w:color="auto" w:sz="4" w:space="0"/>
            </w:tcBorders>
            <w:vAlign w:val="center"/>
          </w:tcPr>
          <w:p w14:paraId="3F23B5BD">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989" w:type="dxa"/>
            <w:tcBorders>
              <w:left w:val="single" w:color="auto" w:sz="4" w:space="0"/>
            </w:tcBorders>
            <w:vAlign w:val="center"/>
          </w:tcPr>
          <w:p w14:paraId="57FFDA64">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690" w:type="dxa"/>
            <w:vAlign w:val="center"/>
          </w:tcPr>
          <w:p w14:paraId="0D6A1A27">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67" w:type="dxa"/>
            <w:vAlign w:val="center"/>
          </w:tcPr>
          <w:p w14:paraId="3A7A0C41">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r>
      <w:tr w14:paraId="37AB7E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00" w:type="dxa"/>
            <w:vAlign w:val="center"/>
          </w:tcPr>
          <w:p w14:paraId="469D2D1B">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71" w:name="_Toc301781620"/>
            <w:bookmarkStart w:id="172" w:name="_Toc373333698"/>
            <w:bookmarkStart w:id="173" w:name="_Toc297193194"/>
            <w:bookmarkStart w:id="174" w:name="_Toc295404990"/>
            <w:bookmarkStart w:id="175" w:name="_Toc254970597"/>
            <w:bookmarkStart w:id="176" w:name="_Toc173211909"/>
            <w:bookmarkStart w:id="177" w:name="_Toc254970738"/>
            <w:bookmarkStart w:id="178" w:name="_Toc173066410"/>
            <w:bookmarkStart w:id="179" w:name="_Toc383699915"/>
            <w:r>
              <w:rPr>
                <w:rFonts w:hint="eastAsia" w:ascii="宋体" w:hAnsi="宋体" w:eastAsia="宋体" w:cs="仿宋_GB2312"/>
                <w:color w:val="auto"/>
                <w:kern w:val="2"/>
                <w:sz w:val="24"/>
                <w:szCs w:val="24"/>
                <w:highlight w:val="none"/>
              </w:rPr>
              <w:t>5</w:t>
            </w:r>
            <w:bookmarkEnd w:id="171"/>
            <w:bookmarkEnd w:id="172"/>
            <w:bookmarkEnd w:id="173"/>
            <w:bookmarkEnd w:id="174"/>
            <w:bookmarkEnd w:id="175"/>
            <w:bookmarkEnd w:id="176"/>
            <w:bookmarkEnd w:id="177"/>
            <w:bookmarkEnd w:id="178"/>
            <w:bookmarkEnd w:id="179"/>
          </w:p>
        </w:tc>
        <w:tc>
          <w:tcPr>
            <w:tcW w:w="900" w:type="dxa"/>
            <w:tcBorders>
              <w:right w:val="single" w:color="auto" w:sz="4" w:space="0"/>
            </w:tcBorders>
            <w:vAlign w:val="center"/>
          </w:tcPr>
          <w:p w14:paraId="16D82F5D">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989" w:type="dxa"/>
            <w:tcBorders>
              <w:left w:val="single" w:color="auto" w:sz="4" w:space="0"/>
            </w:tcBorders>
            <w:vAlign w:val="center"/>
          </w:tcPr>
          <w:p w14:paraId="7E9DD25B">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690" w:type="dxa"/>
            <w:vAlign w:val="center"/>
          </w:tcPr>
          <w:p w14:paraId="079BE985">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67" w:type="dxa"/>
            <w:vAlign w:val="center"/>
          </w:tcPr>
          <w:p w14:paraId="035A3B8F">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r>
      <w:tr w14:paraId="69814E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900" w:type="dxa"/>
            <w:vAlign w:val="center"/>
          </w:tcPr>
          <w:p w14:paraId="492CF5A9">
            <w:pPr>
              <w:pStyle w:val="10"/>
              <w:spacing w:line="360" w:lineRule="auto"/>
              <w:ind w:firstLine="0" w:firstLineChars="0"/>
              <w:contextualSpacing/>
              <w:jc w:val="center"/>
              <w:rPr>
                <w:rFonts w:ascii="宋体" w:hAnsi="宋体" w:eastAsia="宋体" w:cs="仿宋_GB2312"/>
                <w:color w:val="auto"/>
                <w:kern w:val="2"/>
                <w:sz w:val="24"/>
                <w:szCs w:val="24"/>
                <w:highlight w:val="none"/>
              </w:rPr>
            </w:pPr>
            <w:bookmarkStart w:id="180" w:name="_Toc301781621"/>
            <w:bookmarkStart w:id="181" w:name="_Toc254970602"/>
            <w:bookmarkStart w:id="182" w:name="_Toc173066415"/>
            <w:bookmarkStart w:id="183" w:name="_Toc383699916"/>
            <w:bookmarkStart w:id="184" w:name="_Toc295404991"/>
            <w:bookmarkStart w:id="185" w:name="_Toc297193195"/>
            <w:bookmarkStart w:id="186" w:name="_Toc254970743"/>
            <w:bookmarkStart w:id="187" w:name="_Toc373333699"/>
            <w:bookmarkStart w:id="188" w:name="_Toc173211914"/>
            <w:r>
              <w:rPr>
                <w:rFonts w:hint="eastAsia" w:ascii="宋体" w:hAnsi="宋体" w:eastAsia="宋体" w:cs="仿宋_GB2312"/>
                <w:color w:val="auto"/>
                <w:kern w:val="2"/>
                <w:sz w:val="24"/>
                <w:szCs w:val="24"/>
                <w:highlight w:val="none"/>
              </w:rPr>
              <w:t>…</w:t>
            </w:r>
            <w:bookmarkEnd w:id="180"/>
            <w:bookmarkEnd w:id="181"/>
            <w:bookmarkEnd w:id="182"/>
            <w:bookmarkEnd w:id="183"/>
            <w:bookmarkEnd w:id="184"/>
            <w:bookmarkEnd w:id="185"/>
            <w:bookmarkEnd w:id="186"/>
            <w:bookmarkEnd w:id="187"/>
            <w:bookmarkEnd w:id="188"/>
          </w:p>
        </w:tc>
        <w:tc>
          <w:tcPr>
            <w:tcW w:w="900" w:type="dxa"/>
            <w:tcBorders>
              <w:right w:val="single" w:color="auto" w:sz="4" w:space="0"/>
            </w:tcBorders>
            <w:vAlign w:val="center"/>
          </w:tcPr>
          <w:p w14:paraId="5CD93726">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989" w:type="dxa"/>
            <w:tcBorders>
              <w:left w:val="single" w:color="auto" w:sz="4" w:space="0"/>
            </w:tcBorders>
            <w:vAlign w:val="center"/>
          </w:tcPr>
          <w:p w14:paraId="14259615">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2690" w:type="dxa"/>
            <w:vAlign w:val="center"/>
          </w:tcPr>
          <w:p w14:paraId="00FB5EFA">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c>
          <w:tcPr>
            <w:tcW w:w="1467" w:type="dxa"/>
            <w:tcBorders>
              <w:right w:val="single" w:color="auto" w:sz="4" w:space="0"/>
            </w:tcBorders>
            <w:vAlign w:val="center"/>
          </w:tcPr>
          <w:p w14:paraId="46774AE7">
            <w:pPr>
              <w:pStyle w:val="10"/>
              <w:spacing w:line="360" w:lineRule="auto"/>
              <w:ind w:firstLine="0" w:firstLineChars="0"/>
              <w:contextualSpacing/>
              <w:jc w:val="center"/>
              <w:rPr>
                <w:rFonts w:ascii="宋体" w:hAnsi="宋体" w:eastAsia="宋体" w:cs="仿宋_GB2312"/>
                <w:color w:val="auto"/>
                <w:kern w:val="2"/>
                <w:sz w:val="24"/>
                <w:szCs w:val="24"/>
                <w:highlight w:val="none"/>
              </w:rPr>
            </w:pPr>
          </w:p>
        </w:tc>
      </w:tr>
    </w:tbl>
    <w:p w14:paraId="20B0F7E2">
      <w:pPr>
        <w:adjustRightInd w:val="0"/>
        <w:spacing w:line="360" w:lineRule="auto"/>
        <w:contextualSpacing/>
        <w:rPr>
          <w:rFonts w:ascii="宋体" w:hAnsi="宋体" w:cs="仿宋_GB2312"/>
          <w:color w:val="auto"/>
          <w:sz w:val="24"/>
          <w:highlight w:val="none"/>
        </w:rPr>
      </w:pPr>
    </w:p>
    <w:p w14:paraId="40226AB3">
      <w:pPr>
        <w:pStyle w:val="10"/>
        <w:spacing w:line="360" w:lineRule="auto"/>
        <w:ind w:firstLine="0" w:firstLineChars="0"/>
        <w:contextualSpacing/>
        <w:rPr>
          <w:rFonts w:ascii="宋体" w:hAnsi="宋体" w:eastAsia="宋体" w:cs="仿宋_GB2312"/>
          <w:color w:val="auto"/>
          <w:sz w:val="24"/>
          <w:szCs w:val="24"/>
          <w:highlight w:val="none"/>
        </w:rPr>
      </w:pPr>
      <w:r>
        <w:rPr>
          <w:rFonts w:hint="eastAsia" w:ascii="宋体" w:hAnsi="宋体" w:eastAsia="宋体" w:cs="仿宋_GB2312"/>
          <w:color w:val="auto"/>
          <w:sz w:val="24"/>
          <w:szCs w:val="24"/>
          <w:highlight w:val="none"/>
        </w:rPr>
        <w:t>注：</w:t>
      </w:r>
    </w:p>
    <w:p w14:paraId="03642774">
      <w:pPr>
        <w:pStyle w:val="10"/>
        <w:spacing w:line="360" w:lineRule="auto"/>
        <w:ind w:firstLine="0" w:firstLineChars="0"/>
        <w:contextualSpacing/>
        <w:rPr>
          <w:rFonts w:ascii="宋体" w:hAnsi="宋体" w:eastAsia="宋体" w:cs="仿宋_GB2312"/>
          <w:color w:val="auto"/>
          <w:sz w:val="24"/>
          <w:szCs w:val="24"/>
          <w:highlight w:val="none"/>
        </w:rPr>
      </w:pPr>
      <w:r>
        <w:rPr>
          <w:rFonts w:hint="eastAsia" w:ascii="宋体" w:hAnsi="宋体" w:eastAsia="宋体" w:cs="仿宋_GB2312"/>
          <w:color w:val="auto"/>
          <w:sz w:val="24"/>
          <w:szCs w:val="24"/>
          <w:highlight w:val="none"/>
        </w:rPr>
        <w:t>1. 说明：应对照磋商文件“第三章 采购需求”中的服务需求逐条作出明确响应，并作出偏离说明。</w:t>
      </w:r>
    </w:p>
    <w:p w14:paraId="344A3920">
      <w:pPr>
        <w:pStyle w:val="10"/>
        <w:spacing w:line="360" w:lineRule="auto"/>
        <w:ind w:firstLine="0" w:firstLineChars="0"/>
        <w:contextualSpacing/>
        <w:rPr>
          <w:rFonts w:ascii="宋体" w:hAnsi="宋体" w:eastAsia="宋体" w:cs="仿宋_GB2312"/>
          <w:color w:val="auto"/>
          <w:sz w:val="24"/>
          <w:szCs w:val="24"/>
          <w:highlight w:val="none"/>
        </w:rPr>
      </w:pPr>
      <w:r>
        <w:rPr>
          <w:rFonts w:hint="eastAsia" w:ascii="宋体" w:hAnsi="宋体" w:eastAsia="宋体" w:cs="仿宋_GB2312"/>
          <w:color w:val="auto"/>
          <w:sz w:val="24"/>
          <w:szCs w:val="24"/>
          <w:highlight w:val="none"/>
        </w:rPr>
        <w:t>2.供应商应根据自身的承诺，对照磋商文件要求，在“偏离说明”中注明“正偏离”、“负偏离”或者“无偏离”。既不属于“正偏离”也不属于“负偏离”即为“无偏离”。</w:t>
      </w:r>
    </w:p>
    <w:p w14:paraId="1E7E4C01">
      <w:pPr>
        <w:pStyle w:val="12"/>
        <w:spacing w:line="360" w:lineRule="auto"/>
        <w:contextualSpacing/>
        <w:rPr>
          <w:rFonts w:hAnsi="宋体" w:cs="仿宋_GB2312"/>
          <w:color w:val="auto"/>
          <w:sz w:val="24"/>
          <w:szCs w:val="24"/>
          <w:highlight w:val="none"/>
        </w:rPr>
      </w:pPr>
    </w:p>
    <w:p w14:paraId="6E3691DC">
      <w:pPr>
        <w:spacing w:line="360" w:lineRule="auto"/>
        <w:ind w:right="-817" w:rightChars="-389"/>
        <w:contextualSpacing/>
        <w:rPr>
          <w:rFonts w:ascii="宋体" w:hAnsi="宋体" w:cs="仿宋_GB2312"/>
          <w:color w:val="auto"/>
          <w:sz w:val="24"/>
          <w:highlight w:val="none"/>
        </w:rPr>
      </w:pPr>
    </w:p>
    <w:p w14:paraId="3E869A69">
      <w:pPr>
        <w:spacing w:line="360" w:lineRule="auto"/>
        <w:ind w:right="-817" w:rightChars="-389" w:firstLine="960" w:firstLineChars="400"/>
        <w:contextualSpacing/>
        <w:rPr>
          <w:rFonts w:ascii="宋体" w:hAnsi="宋体" w:cs="仿宋_GB2312"/>
          <w:color w:val="auto"/>
          <w:sz w:val="24"/>
          <w:highlight w:val="none"/>
        </w:rPr>
      </w:pPr>
      <w:r>
        <w:rPr>
          <w:rFonts w:hint="eastAsia" w:ascii="宋体" w:hAnsi="宋体" w:cs="仿宋_GB2312"/>
          <w:color w:val="auto"/>
          <w:sz w:val="24"/>
          <w:highlight w:val="none"/>
        </w:rPr>
        <w:t xml:space="preserve">法定代表人或者委托代理人（签字）：                    </w:t>
      </w:r>
    </w:p>
    <w:p w14:paraId="4CDE80CA">
      <w:pPr>
        <w:spacing w:line="360" w:lineRule="auto"/>
        <w:ind w:right="-817" w:rightChars="-389" w:firstLine="2640" w:firstLineChars="1100"/>
        <w:contextualSpacing/>
        <w:rPr>
          <w:rFonts w:ascii="宋体" w:hAnsi="宋体" w:cs="仿宋_GB2312"/>
          <w:color w:val="auto"/>
          <w:sz w:val="24"/>
          <w:highlight w:val="none"/>
        </w:rPr>
      </w:pPr>
      <w:r>
        <w:rPr>
          <w:rFonts w:hint="eastAsia" w:ascii="宋体" w:hAnsi="宋体" w:cs="仿宋_GB2312"/>
          <w:color w:val="auto"/>
          <w:sz w:val="24"/>
          <w:highlight w:val="none"/>
        </w:rPr>
        <w:t xml:space="preserve">供应商（盖公章）：      </w:t>
      </w:r>
    </w:p>
    <w:p w14:paraId="0EFFACA3">
      <w:pPr>
        <w:spacing w:line="360" w:lineRule="auto"/>
        <w:ind w:right="-817" w:rightChars="-389" w:firstLine="4080" w:firstLineChars="1700"/>
        <w:contextualSpacing/>
        <w:rPr>
          <w:rFonts w:ascii="宋体" w:hAnsi="宋体" w:cs="仿宋_GB2312"/>
          <w:color w:val="auto"/>
          <w:sz w:val="24"/>
          <w:highlight w:val="none"/>
        </w:rPr>
      </w:pPr>
      <w:r>
        <w:rPr>
          <w:rFonts w:hint="eastAsia" w:ascii="宋体" w:hAnsi="宋体" w:cs="仿宋_GB2312"/>
          <w:color w:val="auto"/>
          <w:sz w:val="24"/>
          <w:highlight w:val="none"/>
        </w:rPr>
        <w:t>日期：   年   月   日</w:t>
      </w:r>
    </w:p>
    <w:p w14:paraId="018EA83C">
      <w:pPr>
        <w:snapToGrid w:val="0"/>
        <w:spacing w:before="156" w:beforeLines="50" w:after="50"/>
        <w:ind w:left="142"/>
        <w:jc w:val="left"/>
        <w:rPr>
          <w:rFonts w:ascii="宋体" w:hAnsi="宋体"/>
          <w:b/>
          <w:color w:val="auto"/>
          <w:sz w:val="24"/>
          <w:highlight w:val="none"/>
        </w:rPr>
      </w:pPr>
      <w:r>
        <w:rPr>
          <w:rFonts w:ascii="宋体" w:hAnsi="宋体" w:cs="仿宋_GB2312"/>
          <w:color w:val="auto"/>
          <w:sz w:val="24"/>
          <w:highlight w:val="none"/>
        </w:rPr>
        <w:br w:type="page"/>
      </w:r>
      <w:r>
        <w:rPr>
          <w:rFonts w:hint="eastAsia" w:ascii="宋体" w:hAnsi="宋体"/>
          <w:b/>
          <w:color w:val="auto"/>
          <w:sz w:val="24"/>
          <w:highlight w:val="none"/>
        </w:rPr>
        <w:t>项目实施人员一览表格式</w:t>
      </w:r>
    </w:p>
    <w:p w14:paraId="58D8B00E">
      <w:pPr>
        <w:snapToGrid w:val="0"/>
        <w:spacing w:before="156" w:beforeLines="50" w:after="50"/>
        <w:ind w:left="142"/>
        <w:jc w:val="left"/>
        <w:rPr>
          <w:rFonts w:ascii="宋体" w:hAnsi="宋体"/>
          <w:b/>
          <w:color w:val="auto"/>
          <w:sz w:val="24"/>
          <w:highlight w:val="none"/>
        </w:rPr>
      </w:pPr>
    </w:p>
    <w:p w14:paraId="0BE6F403">
      <w:pPr>
        <w:spacing w:line="360" w:lineRule="auto"/>
        <w:ind w:left="142"/>
        <w:contextualSpacing/>
        <w:jc w:val="center"/>
        <w:rPr>
          <w:rFonts w:ascii="宋体" w:hAnsi="宋体"/>
          <w:b/>
          <w:color w:val="auto"/>
          <w:sz w:val="32"/>
          <w:szCs w:val="32"/>
          <w:highlight w:val="none"/>
        </w:rPr>
      </w:pPr>
      <w:r>
        <w:rPr>
          <w:rFonts w:hint="eastAsia" w:ascii="宋体" w:hAnsi="宋体"/>
          <w:b/>
          <w:color w:val="auto"/>
          <w:sz w:val="32"/>
          <w:szCs w:val="32"/>
          <w:highlight w:val="none"/>
        </w:rPr>
        <w:t>项目实施人员一览表</w:t>
      </w:r>
    </w:p>
    <w:p w14:paraId="362BDDC0">
      <w:pPr>
        <w:pStyle w:val="12"/>
        <w:spacing w:line="360" w:lineRule="auto"/>
        <w:contextualSpacing/>
        <w:rPr>
          <w:color w:val="auto"/>
          <w:sz w:val="24"/>
          <w:szCs w:val="24"/>
          <w:highlight w:val="none"/>
        </w:rPr>
      </w:pPr>
      <w:r>
        <w:rPr>
          <w:rFonts w:hint="eastAsia"/>
          <w:color w:val="auto"/>
          <w:sz w:val="24"/>
          <w:szCs w:val="24"/>
          <w:highlight w:val="none"/>
        </w:rPr>
        <w:t>所竞分标：</w:t>
      </w:r>
      <w:r>
        <w:rPr>
          <w:rFonts w:hint="eastAsia"/>
          <w:color w:val="auto"/>
          <w:sz w:val="24"/>
          <w:szCs w:val="24"/>
          <w:highlight w:val="none"/>
          <w:u w:val="single"/>
        </w:rPr>
        <w:t xml:space="preserve">     </w:t>
      </w:r>
      <w:r>
        <w:rPr>
          <w:rFonts w:hint="eastAsia"/>
          <w:color w:val="auto"/>
          <w:sz w:val="24"/>
          <w:szCs w:val="24"/>
          <w:highlight w:val="none"/>
        </w:rPr>
        <w:t>分标</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1701"/>
        <w:gridCol w:w="1420"/>
        <w:gridCol w:w="1698"/>
        <w:gridCol w:w="1843"/>
      </w:tblGrid>
      <w:tr w14:paraId="4ACE4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BE6CD3D">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姓名</w:t>
            </w:r>
          </w:p>
        </w:tc>
        <w:tc>
          <w:tcPr>
            <w:tcW w:w="709" w:type="dxa"/>
            <w:vAlign w:val="center"/>
          </w:tcPr>
          <w:p w14:paraId="705C89BB">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职务</w:t>
            </w:r>
          </w:p>
        </w:tc>
        <w:tc>
          <w:tcPr>
            <w:tcW w:w="1701" w:type="dxa"/>
            <w:vAlign w:val="center"/>
          </w:tcPr>
          <w:p w14:paraId="291CAC58">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专业技术资格（职称）或者职业资格或者执业资格证或者其他证书</w:t>
            </w:r>
          </w:p>
        </w:tc>
        <w:tc>
          <w:tcPr>
            <w:tcW w:w="1420" w:type="dxa"/>
            <w:vAlign w:val="center"/>
          </w:tcPr>
          <w:p w14:paraId="4C0C648A">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证书编号</w:t>
            </w:r>
          </w:p>
        </w:tc>
        <w:tc>
          <w:tcPr>
            <w:tcW w:w="1698" w:type="dxa"/>
            <w:vAlign w:val="center"/>
          </w:tcPr>
          <w:p w14:paraId="1279E14B">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参加本单位</w:t>
            </w:r>
          </w:p>
          <w:p w14:paraId="68C4C7F2">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工作时间</w:t>
            </w:r>
          </w:p>
        </w:tc>
        <w:tc>
          <w:tcPr>
            <w:tcW w:w="1843" w:type="dxa"/>
            <w:vAlign w:val="center"/>
          </w:tcPr>
          <w:p w14:paraId="6037769D">
            <w:pPr>
              <w:spacing w:line="360" w:lineRule="auto"/>
              <w:contextualSpacing/>
              <w:jc w:val="center"/>
              <w:rPr>
                <w:rFonts w:ascii="宋体" w:hAnsi="宋体"/>
                <w:color w:val="auto"/>
                <w:sz w:val="24"/>
                <w:szCs w:val="20"/>
                <w:highlight w:val="none"/>
              </w:rPr>
            </w:pPr>
            <w:r>
              <w:rPr>
                <w:rFonts w:hint="eastAsia" w:ascii="宋体" w:hAnsi="宋体"/>
                <w:color w:val="auto"/>
                <w:sz w:val="24"/>
                <w:szCs w:val="20"/>
                <w:highlight w:val="none"/>
              </w:rPr>
              <w:t>劳动合同编号</w:t>
            </w:r>
          </w:p>
        </w:tc>
      </w:tr>
      <w:tr w14:paraId="16818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78DCF2E">
            <w:pPr>
              <w:spacing w:line="360" w:lineRule="auto"/>
              <w:contextualSpacing/>
              <w:jc w:val="center"/>
              <w:rPr>
                <w:rFonts w:ascii="宋体" w:hAnsi="宋体"/>
                <w:color w:val="auto"/>
                <w:sz w:val="24"/>
                <w:szCs w:val="20"/>
                <w:highlight w:val="none"/>
              </w:rPr>
            </w:pPr>
          </w:p>
        </w:tc>
        <w:tc>
          <w:tcPr>
            <w:tcW w:w="709" w:type="dxa"/>
            <w:vAlign w:val="center"/>
          </w:tcPr>
          <w:p w14:paraId="465204E2">
            <w:pPr>
              <w:spacing w:line="360" w:lineRule="auto"/>
              <w:contextualSpacing/>
              <w:jc w:val="center"/>
              <w:rPr>
                <w:rFonts w:ascii="宋体" w:hAnsi="宋体"/>
                <w:color w:val="auto"/>
                <w:sz w:val="24"/>
                <w:szCs w:val="20"/>
                <w:highlight w:val="none"/>
              </w:rPr>
            </w:pPr>
          </w:p>
        </w:tc>
        <w:tc>
          <w:tcPr>
            <w:tcW w:w="1701" w:type="dxa"/>
            <w:vAlign w:val="center"/>
          </w:tcPr>
          <w:p w14:paraId="53921E87">
            <w:pPr>
              <w:spacing w:line="360" w:lineRule="auto"/>
              <w:contextualSpacing/>
              <w:jc w:val="center"/>
              <w:rPr>
                <w:rFonts w:ascii="宋体" w:hAnsi="宋体"/>
                <w:color w:val="auto"/>
                <w:sz w:val="24"/>
                <w:szCs w:val="20"/>
                <w:highlight w:val="none"/>
              </w:rPr>
            </w:pPr>
          </w:p>
        </w:tc>
        <w:tc>
          <w:tcPr>
            <w:tcW w:w="1420" w:type="dxa"/>
            <w:vAlign w:val="center"/>
          </w:tcPr>
          <w:p w14:paraId="27AA0560">
            <w:pPr>
              <w:spacing w:line="360" w:lineRule="auto"/>
              <w:contextualSpacing/>
              <w:jc w:val="center"/>
              <w:rPr>
                <w:rFonts w:ascii="宋体" w:hAnsi="宋体"/>
                <w:color w:val="auto"/>
                <w:sz w:val="24"/>
                <w:szCs w:val="20"/>
                <w:highlight w:val="none"/>
              </w:rPr>
            </w:pPr>
          </w:p>
        </w:tc>
        <w:tc>
          <w:tcPr>
            <w:tcW w:w="1698" w:type="dxa"/>
            <w:vAlign w:val="center"/>
          </w:tcPr>
          <w:p w14:paraId="409CEFAB">
            <w:pPr>
              <w:spacing w:line="360" w:lineRule="auto"/>
              <w:contextualSpacing/>
              <w:jc w:val="center"/>
              <w:rPr>
                <w:rFonts w:ascii="宋体" w:hAnsi="宋体"/>
                <w:color w:val="auto"/>
                <w:sz w:val="24"/>
                <w:szCs w:val="20"/>
                <w:highlight w:val="none"/>
              </w:rPr>
            </w:pPr>
          </w:p>
        </w:tc>
        <w:tc>
          <w:tcPr>
            <w:tcW w:w="1843" w:type="dxa"/>
            <w:vAlign w:val="center"/>
          </w:tcPr>
          <w:p w14:paraId="5FA34B03">
            <w:pPr>
              <w:spacing w:line="360" w:lineRule="auto"/>
              <w:contextualSpacing/>
              <w:jc w:val="center"/>
              <w:rPr>
                <w:rFonts w:ascii="宋体" w:hAnsi="宋体"/>
                <w:color w:val="auto"/>
                <w:sz w:val="24"/>
                <w:szCs w:val="20"/>
                <w:highlight w:val="none"/>
              </w:rPr>
            </w:pPr>
          </w:p>
        </w:tc>
      </w:tr>
      <w:tr w14:paraId="63489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340D6DE">
            <w:pPr>
              <w:spacing w:line="360" w:lineRule="auto"/>
              <w:contextualSpacing/>
              <w:jc w:val="center"/>
              <w:rPr>
                <w:rFonts w:ascii="宋体" w:hAnsi="宋体"/>
                <w:color w:val="auto"/>
                <w:sz w:val="24"/>
                <w:szCs w:val="20"/>
                <w:highlight w:val="none"/>
              </w:rPr>
            </w:pPr>
          </w:p>
        </w:tc>
        <w:tc>
          <w:tcPr>
            <w:tcW w:w="709" w:type="dxa"/>
            <w:vAlign w:val="center"/>
          </w:tcPr>
          <w:p w14:paraId="697FC721">
            <w:pPr>
              <w:spacing w:line="360" w:lineRule="auto"/>
              <w:contextualSpacing/>
              <w:jc w:val="center"/>
              <w:rPr>
                <w:rFonts w:ascii="宋体" w:hAnsi="宋体"/>
                <w:color w:val="auto"/>
                <w:sz w:val="24"/>
                <w:szCs w:val="20"/>
                <w:highlight w:val="none"/>
              </w:rPr>
            </w:pPr>
          </w:p>
        </w:tc>
        <w:tc>
          <w:tcPr>
            <w:tcW w:w="1701" w:type="dxa"/>
            <w:vAlign w:val="center"/>
          </w:tcPr>
          <w:p w14:paraId="66073DF1">
            <w:pPr>
              <w:spacing w:line="360" w:lineRule="auto"/>
              <w:contextualSpacing/>
              <w:jc w:val="center"/>
              <w:rPr>
                <w:rFonts w:ascii="宋体" w:hAnsi="宋体"/>
                <w:color w:val="auto"/>
                <w:sz w:val="24"/>
                <w:szCs w:val="20"/>
                <w:highlight w:val="none"/>
              </w:rPr>
            </w:pPr>
          </w:p>
        </w:tc>
        <w:tc>
          <w:tcPr>
            <w:tcW w:w="1420" w:type="dxa"/>
            <w:vAlign w:val="center"/>
          </w:tcPr>
          <w:p w14:paraId="3EE0282F">
            <w:pPr>
              <w:spacing w:line="360" w:lineRule="auto"/>
              <w:contextualSpacing/>
              <w:jc w:val="center"/>
              <w:rPr>
                <w:rFonts w:ascii="宋体" w:hAnsi="宋体"/>
                <w:color w:val="auto"/>
                <w:sz w:val="24"/>
                <w:szCs w:val="20"/>
                <w:highlight w:val="none"/>
              </w:rPr>
            </w:pPr>
          </w:p>
        </w:tc>
        <w:tc>
          <w:tcPr>
            <w:tcW w:w="1698" w:type="dxa"/>
            <w:vAlign w:val="center"/>
          </w:tcPr>
          <w:p w14:paraId="3872608D">
            <w:pPr>
              <w:spacing w:line="360" w:lineRule="auto"/>
              <w:contextualSpacing/>
              <w:jc w:val="center"/>
              <w:rPr>
                <w:rFonts w:ascii="宋体" w:hAnsi="宋体"/>
                <w:color w:val="auto"/>
                <w:sz w:val="24"/>
                <w:szCs w:val="20"/>
                <w:highlight w:val="none"/>
              </w:rPr>
            </w:pPr>
          </w:p>
        </w:tc>
        <w:tc>
          <w:tcPr>
            <w:tcW w:w="1843" w:type="dxa"/>
            <w:vAlign w:val="center"/>
          </w:tcPr>
          <w:p w14:paraId="16EED405">
            <w:pPr>
              <w:spacing w:line="360" w:lineRule="auto"/>
              <w:contextualSpacing/>
              <w:jc w:val="center"/>
              <w:rPr>
                <w:rFonts w:ascii="宋体" w:hAnsi="宋体"/>
                <w:color w:val="auto"/>
                <w:sz w:val="24"/>
                <w:szCs w:val="20"/>
                <w:highlight w:val="none"/>
              </w:rPr>
            </w:pPr>
          </w:p>
        </w:tc>
      </w:tr>
      <w:tr w14:paraId="08601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722E7AB6">
            <w:pPr>
              <w:spacing w:line="360" w:lineRule="auto"/>
              <w:contextualSpacing/>
              <w:jc w:val="center"/>
              <w:rPr>
                <w:rFonts w:ascii="宋体" w:hAnsi="宋体"/>
                <w:color w:val="auto"/>
                <w:sz w:val="24"/>
                <w:szCs w:val="20"/>
                <w:highlight w:val="none"/>
              </w:rPr>
            </w:pPr>
          </w:p>
        </w:tc>
        <w:tc>
          <w:tcPr>
            <w:tcW w:w="709" w:type="dxa"/>
            <w:vAlign w:val="center"/>
          </w:tcPr>
          <w:p w14:paraId="7C268FD9">
            <w:pPr>
              <w:spacing w:line="360" w:lineRule="auto"/>
              <w:contextualSpacing/>
              <w:jc w:val="center"/>
              <w:rPr>
                <w:rFonts w:ascii="宋体" w:hAnsi="宋体"/>
                <w:color w:val="auto"/>
                <w:sz w:val="24"/>
                <w:szCs w:val="20"/>
                <w:highlight w:val="none"/>
              </w:rPr>
            </w:pPr>
          </w:p>
        </w:tc>
        <w:tc>
          <w:tcPr>
            <w:tcW w:w="1701" w:type="dxa"/>
            <w:vAlign w:val="center"/>
          </w:tcPr>
          <w:p w14:paraId="6E698239">
            <w:pPr>
              <w:spacing w:line="360" w:lineRule="auto"/>
              <w:contextualSpacing/>
              <w:jc w:val="center"/>
              <w:rPr>
                <w:rFonts w:ascii="宋体" w:hAnsi="宋体"/>
                <w:color w:val="auto"/>
                <w:sz w:val="24"/>
                <w:szCs w:val="20"/>
                <w:highlight w:val="none"/>
              </w:rPr>
            </w:pPr>
          </w:p>
        </w:tc>
        <w:tc>
          <w:tcPr>
            <w:tcW w:w="1420" w:type="dxa"/>
            <w:vAlign w:val="center"/>
          </w:tcPr>
          <w:p w14:paraId="60B5B16D">
            <w:pPr>
              <w:spacing w:line="360" w:lineRule="auto"/>
              <w:contextualSpacing/>
              <w:jc w:val="center"/>
              <w:rPr>
                <w:rFonts w:ascii="宋体" w:hAnsi="宋体"/>
                <w:color w:val="auto"/>
                <w:sz w:val="24"/>
                <w:szCs w:val="20"/>
                <w:highlight w:val="none"/>
              </w:rPr>
            </w:pPr>
          </w:p>
        </w:tc>
        <w:tc>
          <w:tcPr>
            <w:tcW w:w="1698" w:type="dxa"/>
            <w:vAlign w:val="center"/>
          </w:tcPr>
          <w:p w14:paraId="35649204">
            <w:pPr>
              <w:spacing w:line="360" w:lineRule="auto"/>
              <w:contextualSpacing/>
              <w:jc w:val="center"/>
              <w:rPr>
                <w:rFonts w:ascii="宋体" w:hAnsi="宋体"/>
                <w:color w:val="auto"/>
                <w:sz w:val="24"/>
                <w:szCs w:val="20"/>
                <w:highlight w:val="none"/>
              </w:rPr>
            </w:pPr>
          </w:p>
        </w:tc>
        <w:tc>
          <w:tcPr>
            <w:tcW w:w="1843" w:type="dxa"/>
            <w:vAlign w:val="center"/>
          </w:tcPr>
          <w:p w14:paraId="6E42811C">
            <w:pPr>
              <w:spacing w:line="360" w:lineRule="auto"/>
              <w:contextualSpacing/>
              <w:jc w:val="center"/>
              <w:rPr>
                <w:rFonts w:ascii="宋体" w:hAnsi="宋体"/>
                <w:color w:val="auto"/>
                <w:sz w:val="24"/>
                <w:szCs w:val="20"/>
                <w:highlight w:val="none"/>
              </w:rPr>
            </w:pPr>
          </w:p>
        </w:tc>
      </w:tr>
    </w:tbl>
    <w:p w14:paraId="68856442">
      <w:pPr>
        <w:spacing w:line="360" w:lineRule="auto"/>
        <w:contextualSpacing/>
        <w:jc w:val="left"/>
        <w:rPr>
          <w:rFonts w:ascii="宋体" w:hAnsi="宋体"/>
          <w:color w:val="auto"/>
          <w:sz w:val="24"/>
          <w:szCs w:val="20"/>
          <w:highlight w:val="none"/>
        </w:rPr>
      </w:pPr>
      <w:r>
        <w:rPr>
          <w:rFonts w:hint="eastAsia" w:ascii="宋体" w:hAnsi="宋体"/>
          <w:color w:val="auto"/>
          <w:sz w:val="24"/>
          <w:szCs w:val="20"/>
          <w:highlight w:val="none"/>
        </w:rPr>
        <w:t>注：在填写时，如本表格不适合供应商的实际情况，可根据本表格式自行制表填写。</w:t>
      </w:r>
    </w:p>
    <w:p w14:paraId="60642046">
      <w:pPr>
        <w:spacing w:line="360" w:lineRule="auto"/>
        <w:contextualSpacing/>
        <w:rPr>
          <w:rFonts w:ascii="宋体" w:hAnsi="宋体"/>
          <w:color w:val="auto"/>
          <w:spacing w:val="20"/>
          <w:sz w:val="24"/>
          <w:szCs w:val="20"/>
          <w:highlight w:val="none"/>
          <w:u w:val="single"/>
        </w:rPr>
      </w:pPr>
      <w:r>
        <w:rPr>
          <w:rFonts w:hint="eastAsia" w:ascii="宋体" w:hAnsi="宋体"/>
          <w:color w:val="auto"/>
          <w:sz w:val="24"/>
          <w:highlight w:val="none"/>
        </w:rPr>
        <w:t>法定代表人或者委托代理人</w:t>
      </w:r>
      <w:r>
        <w:rPr>
          <w:rFonts w:hint="eastAsia" w:ascii="宋体" w:hAnsi="宋体"/>
          <w:color w:val="auto"/>
          <w:spacing w:val="20"/>
          <w:sz w:val="24"/>
          <w:highlight w:val="none"/>
        </w:rPr>
        <w:t>签字：</w:t>
      </w:r>
      <w:r>
        <w:rPr>
          <w:rFonts w:hint="eastAsia" w:ascii="宋体" w:hAnsi="宋体"/>
          <w:color w:val="auto"/>
          <w:spacing w:val="20"/>
          <w:sz w:val="24"/>
          <w:highlight w:val="none"/>
          <w:u w:val="single"/>
        </w:rPr>
        <w:t xml:space="preserve">        </w:t>
      </w:r>
    </w:p>
    <w:p w14:paraId="7C3717A2">
      <w:pPr>
        <w:spacing w:line="360" w:lineRule="auto"/>
        <w:contextualSpacing/>
        <w:jc w:val="left"/>
        <w:rPr>
          <w:rFonts w:ascii="宋体" w:hAnsi="宋体"/>
          <w:color w:val="auto"/>
          <w:sz w:val="24"/>
          <w:szCs w:val="20"/>
          <w:highlight w:val="none"/>
        </w:rPr>
      </w:pPr>
      <w:r>
        <w:rPr>
          <w:rFonts w:hint="eastAsia" w:ascii="宋体" w:hAnsi="宋体"/>
          <w:color w:val="auto"/>
          <w:spacing w:val="20"/>
          <w:sz w:val="24"/>
          <w:highlight w:val="none"/>
        </w:rPr>
        <w:t>供应商（盖公章）：</w:t>
      </w:r>
      <w:r>
        <w:rPr>
          <w:rFonts w:hint="eastAsia" w:ascii="宋体" w:hAnsi="宋体"/>
          <w:color w:val="auto"/>
          <w:spacing w:val="20"/>
          <w:sz w:val="24"/>
          <w:highlight w:val="none"/>
          <w:u w:val="single"/>
        </w:rPr>
        <w:t xml:space="preserve">            </w:t>
      </w:r>
      <w:r>
        <w:rPr>
          <w:rFonts w:hint="eastAsia" w:ascii="宋体" w:hAnsi="宋体"/>
          <w:color w:val="auto"/>
          <w:spacing w:val="20"/>
          <w:sz w:val="24"/>
          <w:highlight w:val="none"/>
        </w:rPr>
        <w:t xml:space="preserve">              日 期：</w:t>
      </w:r>
      <w:r>
        <w:rPr>
          <w:rFonts w:hint="eastAsia" w:ascii="宋体" w:hAnsi="宋体"/>
          <w:color w:val="auto"/>
          <w:spacing w:val="20"/>
          <w:sz w:val="24"/>
          <w:highlight w:val="none"/>
          <w:u w:val="single"/>
        </w:rPr>
        <w:t xml:space="preserve">         </w:t>
      </w:r>
    </w:p>
    <w:p w14:paraId="6892ABDE">
      <w:pPr>
        <w:snapToGrid w:val="0"/>
        <w:spacing w:before="50" w:after="156" w:afterLines="50"/>
        <w:jc w:val="left"/>
        <w:rPr>
          <w:rFonts w:ascii="宋体" w:hAnsi="宋体"/>
          <w:color w:val="auto"/>
          <w:sz w:val="24"/>
          <w:szCs w:val="20"/>
          <w:highlight w:val="none"/>
        </w:rPr>
      </w:pPr>
    </w:p>
    <w:p w14:paraId="5DD853F7">
      <w:pPr>
        <w:snapToGrid w:val="0"/>
        <w:spacing w:before="50" w:after="50" w:line="360" w:lineRule="auto"/>
        <w:ind w:right="-817" w:rightChars="-389" w:firstLine="5461" w:firstLineChars="1700"/>
        <w:rPr>
          <w:rFonts w:ascii="仿宋_GB2312" w:hAnsi="仿宋_GB2312" w:eastAsia="仿宋_GB2312" w:cs="仿宋_GB2312"/>
          <w:b/>
          <w:color w:val="auto"/>
          <w:sz w:val="32"/>
          <w:szCs w:val="32"/>
          <w:highlight w:val="none"/>
        </w:rPr>
      </w:pPr>
    </w:p>
    <w:p w14:paraId="4F1A0F49">
      <w:pPr>
        <w:spacing w:line="300" w:lineRule="auto"/>
        <w:rPr>
          <w:rFonts w:ascii="宋体" w:hAnsi="宋体"/>
          <w:color w:val="auto"/>
          <w:szCs w:val="21"/>
          <w:highlight w:val="none"/>
        </w:rPr>
      </w:pPr>
      <w:r>
        <w:rPr>
          <w:rFonts w:ascii="宋体" w:hAnsi="宋体"/>
          <w:b/>
          <w:bCs/>
          <w:color w:val="auto"/>
          <w:sz w:val="24"/>
          <w:highlight w:val="none"/>
        </w:rPr>
        <w:br w:type="page"/>
      </w:r>
      <w:r>
        <w:rPr>
          <w:rFonts w:hint="eastAsia" w:ascii="宋体" w:hAnsi="宋体"/>
          <w:b/>
          <w:bCs/>
          <w:color w:val="auto"/>
          <w:sz w:val="24"/>
          <w:highlight w:val="none"/>
        </w:rPr>
        <w:t>其他文书、文件格式</w:t>
      </w:r>
    </w:p>
    <w:p w14:paraId="29408E22">
      <w:pPr>
        <w:spacing w:line="360" w:lineRule="auto"/>
        <w:jc w:val="center"/>
        <w:rPr>
          <w:rFonts w:ascii="宋体" w:hAnsi="宋体"/>
          <w:b/>
          <w:bCs/>
          <w:color w:val="auto"/>
          <w:sz w:val="32"/>
          <w:szCs w:val="32"/>
          <w:highlight w:val="none"/>
        </w:rPr>
      </w:pPr>
      <w:r>
        <w:rPr>
          <w:rFonts w:hint="eastAsia" w:ascii="宋体" w:hAnsi="宋体"/>
          <w:b/>
          <w:bCs/>
          <w:color w:val="auto"/>
          <w:sz w:val="32"/>
          <w:szCs w:val="32"/>
          <w:highlight w:val="none"/>
        </w:rPr>
        <w:t>质疑函（格式）</w:t>
      </w:r>
    </w:p>
    <w:p w14:paraId="2C996CEB">
      <w:pPr>
        <w:pStyle w:val="12"/>
        <w:spacing w:line="360" w:lineRule="auto"/>
        <w:ind w:firstLine="482" w:firstLineChars="200"/>
        <w:contextualSpacing/>
        <w:rPr>
          <w:rFonts w:hAnsi="宋体"/>
          <w:b/>
          <w:bCs/>
          <w:color w:val="auto"/>
          <w:sz w:val="24"/>
          <w:szCs w:val="24"/>
          <w:highlight w:val="none"/>
        </w:rPr>
      </w:pPr>
      <w:r>
        <w:rPr>
          <w:rFonts w:hint="eastAsia" w:hAnsi="宋体"/>
          <w:b/>
          <w:bCs/>
          <w:color w:val="auto"/>
          <w:sz w:val="24"/>
          <w:szCs w:val="24"/>
          <w:highlight w:val="none"/>
        </w:rPr>
        <w:t>一、质疑供应商基本信息：</w:t>
      </w:r>
    </w:p>
    <w:p w14:paraId="14F4408D">
      <w:pPr>
        <w:pStyle w:val="12"/>
        <w:spacing w:line="360" w:lineRule="auto"/>
        <w:ind w:firstLine="480" w:firstLineChars="200"/>
        <w:contextualSpacing/>
        <w:rPr>
          <w:rFonts w:hAnsi="宋体"/>
          <w:bCs/>
          <w:color w:val="auto"/>
          <w:sz w:val="24"/>
          <w:szCs w:val="24"/>
          <w:highlight w:val="none"/>
          <w:u w:val="single"/>
        </w:rPr>
      </w:pPr>
      <w:r>
        <w:rPr>
          <w:rFonts w:hint="eastAsia" w:hAnsi="宋体"/>
          <w:bCs/>
          <w:color w:val="auto"/>
          <w:sz w:val="24"/>
          <w:szCs w:val="24"/>
          <w:highlight w:val="none"/>
        </w:rPr>
        <w:t>质疑供应商：</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795D1824">
      <w:pPr>
        <w:pStyle w:val="12"/>
        <w:spacing w:line="360" w:lineRule="auto"/>
        <w:ind w:firstLine="480" w:firstLineChars="200"/>
        <w:contextualSpacing/>
        <w:rPr>
          <w:rFonts w:hAnsi="宋体"/>
          <w:bCs/>
          <w:color w:val="auto"/>
          <w:sz w:val="24"/>
          <w:szCs w:val="24"/>
          <w:highlight w:val="none"/>
        </w:rPr>
      </w:pPr>
      <w:r>
        <w:rPr>
          <w:rFonts w:hAnsi="宋体"/>
          <w:bCs/>
          <w:color w:val="auto"/>
          <w:sz w:val="24"/>
          <w:szCs w:val="24"/>
          <w:highlight w:val="none"/>
        </w:rPr>
        <w:t>地址</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Ansi="宋体"/>
          <w:bCs/>
          <w:color w:val="auto"/>
          <w:sz w:val="24"/>
          <w:szCs w:val="24"/>
          <w:highlight w:val="none"/>
        </w:rPr>
        <w:t>邮编</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037422C1">
      <w:pPr>
        <w:pStyle w:val="12"/>
        <w:spacing w:line="360" w:lineRule="auto"/>
        <w:ind w:firstLine="480" w:firstLineChars="200"/>
        <w:contextualSpacing/>
        <w:rPr>
          <w:rFonts w:hAnsi="宋体"/>
          <w:bCs/>
          <w:color w:val="auto"/>
          <w:sz w:val="24"/>
          <w:szCs w:val="24"/>
          <w:highlight w:val="none"/>
        </w:rPr>
      </w:pPr>
      <w:r>
        <w:rPr>
          <w:rFonts w:hAnsi="宋体"/>
          <w:bCs/>
          <w:color w:val="auto"/>
          <w:sz w:val="24"/>
          <w:szCs w:val="24"/>
          <w:highlight w:val="none"/>
        </w:rPr>
        <w:t>联系人</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Ansi="宋体"/>
          <w:bCs/>
          <w:color w:val="auto"/>
          <w:sz w:val="24"/>
          <w:szCs w:val="24"/>
          <w:highlight w:val="none"/>
        </w:rPr>
        <w:t>联系电话</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p>
    <w:p w14:paraId="1965FB64">
      <w:pPr>
        <w:pStyle w:val="12"/>
        <w:spacing w:line="360" w:lineRule="auto"/>
        <w:ind w:firstLine="480" w:firstLineChars="200"/>
        <w:contextualSpacing/>
        <w:rPr>
          <w:rFonts w:hAnsi="宋体"/>
          <w:bCs/>
          <w:color w:val="auto"/>
          <w:sz w:val="24"/>
          <w:szCs w:val="24"/>
          <w:highlight w:val="none"/>
        </w:rPr>
      </w:pPr>
      <w:r>
        <w:rPr>
          <w:rFonts w:hint="eastAsia" w:hAnsi="宋体"/>
          <w:bCs/>
          <w:color w:val="auto"/>
          <w:sz w:val="24"/>
          <w:szCs w:val="24"/>
          <w:highlight w:val="none"/>
        </w:rPr>
        <w:t>授权代表：</w:t>
      </w:r>
      <w:r>
        <w:rPr>
          <w:rFonts w:hint="eastAsia" w:hAnsi="宋体"/>
          <w:bCs/>
          <w:color w:val="auto"/>
          <w:sz w:val="24"/>
          <w:szCs w:val="24"/>
          <w:highlight w:val="none"/>
          <w:u w:val="single"/>
        </w:rPr>
        <w:t xml:space="preserve">                      </w:t>
      </w:r>
    </w:p>
    <w:p w14:paraId="7869E46C">
      <w:pPr>
        <w:pStyle w:val="12"/>
        <w:spacing w:line="360" w:lineRule="auto"/>
        <w:ind w:firstLine="480" w:firstLineChars="200"/>
        <w:contextualSpacing/>
        <w:rPr>
          <w:rFonts w:hAnsi="宋体"/>
          <w:bCs/>
          <w:color w:val="auto"/>
          <w:sz w:val="24"/>
          <w:szCs w:val="24"/>
          <w:highlight w:val="none"/>
          <w:u w:val="single"/>
        </w:rPr>
      </w:pPr>
      <w:r>
        <w:rPr>
          <w:rFonts w:hAnsi="宋体"/>
          <w:bCs/>
          <w:color w:val="auto"/>
          <w:sz w:val="24"/>
          <w:szCs w:val="24"/>
          <w:highlight w:val="none"/>
        </w:rPr>
        <w:t>联系</w:t>
      </w:r>
      <w:r>
        <w:rPr>
          <w:rFonts w:hint="eastAsia" w:hAnsi="宋体"/>
          <w:bCs/>
          <w:color w:val="auto"/>
          <w:sz w:val="24"/>
          <w:szCs w:val="24"/>
          <w:highlight w:val="none"/>
        </w:rPr>
        <w:t>电话：</w:t>
      </w:r>
      <w:r>
        <w:rPr>
          <w:rFonts w:hint="eastAsia" w:hAnsi="宋体"/>
          <w:bCs/>
          <w:color w:val="auto"/>
          <w:sz w:val="24"/>
          <w:szCs w:val="24"/>
          <w:highlight w:val="none"/>
          <w:u w:val="single"/>
        </w:rPr>
        <w:t xml:space="preserve">                      </w:t>
      </w:r>
    </w:p>
    <w:p w14:paraId="116CECD0">
      <w:pPr>
        <w:pStyle w:val="12"/>
        <w:spacing w:line="360" w:lineRule="auto"/>
        <w:ind w:firstLine="480" w:firstLineChars="200"/>
        <w:contextualSpacing/>
        <w:rPr>
          <w:rFonts w:hAnsi="宋体"/>
          <w:bCs/>
          <w:color w:val="auto"/>
          <w:sz w:val="24"/>
          <w:szCs w:val="24"/>
          <w:highlight w:val="none"/>
        </w:rPr>
      </w:pPr>
      <w:r>
        <w:rPr>
          <w:rFonts w:hAnsi="宋体"/>
          <w:bCs/>
          <w:color w:val="auto"/>
          <w:sz w:val="24"/>
          <w:szCs w:val="24"/>
          <w:highlight w:val="none"/>
        </w:rPr>
        <w:t>地址</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Ansi="宋体"/>
          <w:bCs/>
          <w:color w:val="auto"/>
          <w:sz w:val="24"/>
          <w:szCs w:val="24"/>
          <w:highlight w:val="none"/>
        </w:rPr>
        <w:t>邮编</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1AC5987E">
      <w:pPr>
        <w:pStyle w:val="12"/>
        <w:spacing w:line="360" w:lineRule="auto"/>
        <w:ind w:firstLine="482" w:firstLineChars="200"/>
        <w:contextualSpacing/>
        <w:rPr>
          <w:rFonts w:hAnsi="宋体"/>
          <w:b/>
          <w:bCs/>
          <w:color w:val="auto"/>
          <w:sz w:val="24"/>
          <w:szCs w:val="24"/>
          <w:highlight w:val="none"/>
        </w:rPr>
      </w:pPr>
      <w:r>
        <w:rPr>
          <w:rFonts w:hint="eastAsia" w:hAnsi="宋体"/>
          <w:b/>
          <w:bCs/>
          <w:color w:val="auto"/>
          <w:sz w:val="24"/>
          <w:szCs w:val="24"/>
          <w:highlight w:val="none"/>
        </w:rPr>
        <w:t>二、质疑项目基本情况：</w:t>
      </w:r>
    </w:p>
    <w:p w14:paraId="2977E4B4">
      <w:pPr>
        <w:pStyle w:val="12"/>
        <w:spacing w:line="360" w:lineRule="auto"/>
        <w:ind w:left="25" w:leftChars="12" w:firstLine="472" w:firstLineChars="197"/>
        <w:contextualSpacing/>
        <w:rPr>
          <w:rFonts w:hAnsi="宋体"/>
          <w:color w:val="auto"/>
          <w:sz w:val="24"/>
          <w:szCs w:val="24"/>
          <w:highlight w:val="none"/>
        </w:rPr>
      </w:pPr>
      <w:r>
        <w:rPr>
          <w:rFonts w:hint="eastAsia" w:hAnsi="宋体"/>
          <w:bCs/>
          <w:color w:val="auto"/>
          <w:sz w:val="24"/>
          <w:szCs w:val="24"/>
          <w:highlight w:val="none"/>
        </w:rPr>
        <w:t>质疑</w:t>
      </w:r>
      <w:r>
        <w:rPr>
          <w:rFonts w:hint="eastAsia" w:hAnsi="宋体"/>
          <w:color w:val="auto"/>
          <w:sz w:val="24"/>
          <w:szCs w:val="24"/>
          <w:highlight w:val="none"/>
        </w:rPr>
        <w:t>项目的名称：</w:t>
      </w:r>
      <w:r>
        <w:rPr>
          <w:rFonts w:hint="eastAsia" w:hAnsi="宋体"/>
          <w:bCs/>
          <w:color w:val="auto"/>
          <w:sz w:val="24"/>
          <w:szCs w:val="24"/>
          <w:highlight w:val="none"/>
          <w:u w:val="single"/>
        </w:rPr>
        <w:t xml:space="preserve">                                     </w:t>
      </w:r>
    </w:p>
    <w:p w14:paraId="778D9971">
      <w:pPr>
        <w:pStyle w:val="12"/>
        <w:spacing w:line="360" w:lineRule="auto"/>
        <w:ind w:left="25" w:leftChars="12" w:firstLine="472" w:firstLineChars="197"/>
        <w:contextualSpacing/>
        <w:rPr>
          <w:rFonts w:hAnsi="宋体"/>
          <w:color w:val="auto"/>
          <w:sz w:val="24"/>
          <w:szCs w:val="24"/>
          <w:highlight w:val="none"/>
        </w:rPr>
      </w:pPr>
      <w:r>
        <w:rPr>
          <w:rFonts w:hint="eastAsia" w:hAnsi="宋体"/>
          <w:bCs/>
          <w:color w:val="auto"/>
          <w:sz w:val="24"/>
          <w:szCs w:val="24"/>
          <w:highlight w:val="none"/>
        </w:rPr>
        <w:t>质疑</w:t>
      </w:r>
      <w:r>
        <w:rPr>
          <w:rFonts w:hint="eastAsia" w:hAnsi="宋体"/>
          <w:color w:val="auto"/>
          <w:sz w:val="24"/>
          <w:szCs w:val="24"/>
          <w:highlight w:val="none"/>
        </w:rPr>
        <w:t>项目的编号：</w:t>
      </w:r>
      <w:r>
        <w:rPr>
          <w:rFonts w:hint="eastAsia" w:hAnsi="宋体"/>
          <w:bCs/>
          <w:color w:val="auto"/>
          <w:sz w:val="24"/>
          <w:szCs w:val="24"/>
          <w:highlight w:val="none"/>
          <w:u w:val="single"/>
        </w:rPr>
        <w:t xml:space="preserve">                                     </w:t>
      </w:r>
    </w:p>
    <w:p w14:paraId="0E446BE8">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采购人名称：</w:t>
      </w:r>
      <w:r>
        <w:rPr>
          <w:rFonts w:hint="eastAsia" w:hAnsi="宋体"/>
          <w:bCs/>
          <w:color w:val="auto"/>
          <w:sz w:val="24"/>
          <w:szCs w:val="24"/>
          <w:highlight w:val="none"/>
          <w:u w:val="single"/>
        </w:rPr>
        <w:t xml:space="preserve">                                         </w:t>
      </w:r>
    </w:p>
    <w:p w14:paraId="71EC4D77">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质疑事项：</w:t>
      </w:r>
    </w:p>
    <w:p w14:paraId="1164B230">
      <w:pPr>
        <w:pStyle w:val="12"/>
        <w:spacing w:line="360" w:lineRule="auto"/>
        <w:ind w:left="25" w:leftChars="12" w:firstLine="352" w:firstLineChars="147"/>
        <w:contextualSpacing/>
        <w:rPr>
          <w:rFonts w:hAnsi="宋体"/>
          <w:color w:val="auto"/>
          <w:sz w:val="24"/>
          <w:szCs w:val="24"/>
          <w:highlight w:val="none"/>
        </w:rPr>
      </w:pPr>
      <w:r>
        <w:rPr>
          <w:rFonts w:hint="eastAsia" w:hAnsi="宋体"/>
          <w:color w:val="auto"/>
          <w:sz w:val="24"/>
          <w:szCs w:val="24"/>
          <w:highlight w:val="none"/>
        </w:rPr>
        <w:t>□采购文件   采购文件获取日期：</w:t>
      </w:r>
      <w:r>
        <w:rPr>
          <w:rFonts w:hint="eastAsia" w:hAnsi="宋体"/>
          <w:bCs/>
          <w:color w:val="auto"/>
          <w:sz w:val="24"/>
          <w:szCs w:val="24"/>
          <w:highlight w:val="none"/>
          <w:u w:val="single"/>
        </w:rPr>
        <w:t xml:space="preserve">                                   </w:t>
      </w:r>
    </w:p>
    <w:p w14:paraId="5F149AE6">
      <w:pPr>
        <w:pStyle w:val="12"/>
        <w:spacing w:line="360" w:lineRule="auto"/>
        <w:ind w:left="25" w:leftChars="12" w:firstLine="352" w:firstLineChars="147"/>
        <w:contextualSpacing/>
        <w:rPr>
          <w:rFonts w:hAnsi="宋体"/>
          <w:color w:val="auto"/>
          <w:sz w:val="24"/>
          <w:szCs w:val="24"/>
          <w:highlight w:val="none"/>
        </w:rPr>
      </w:pPr>
      <w:r>
        <w:rPr>
          <w:rFonts w:hint="eastAsia" w:hAnsi="宋体"/>
          <w:color w:val="auto"/>
          <w:sz w:val="24"/>
          <w:szCs w:val="24"/>
          <w:highlight w:val="none"/>
        </w:rPr>
        <w:t xml:space="preserve">□采购过程   </w:t>
      </w:r>
    </w:p>
    <w:p w14:paraId="348763FD">
      <w:pPr>
        <w:pStyle w:val="12"/>
        <w:spacing w:line="360" w:lineRule="auto"/>
        <w:ind w:left="25" w:leftChars="12" w:firstLine="352" w:firstLineChars="147"/>
        <w:contextualSpacing/>
        <w:rPr>
          <w:rFonts w:hAnsi="宋体"/>
          <w:bCs/>
          <w:color w:val="auto"/>
          <w:sz w:val="24"/>
          <w:szCs w:val="24"/>
          <w:highlight w:val="none"/>
          <w:u w:val="single"/>
        </w:rPr>
      </w:pPr>
      <w:r>
        <w:rPr>
          <w:rFonts w:hint="eastAsia" w:hAnsi="宋体"/>
          <w:color w:val="auto"/>
          <w:sz w:val="24"/>
          <w:szCs w:val="24"/>
          <w:highlight w:val="none"/>
        </w:rPr>
        <w:t xml:space="preserve">□成交结果   </w:t>
      </w:r>
    </w:p>
    <w:p w14:paraId="4913B31B">
      <w:pPr>
        <w:pStyle w:val="12"/>
        <w:spacing w:line="360" w:lineRule="auto"/>
        <w:ind w:left="25" w:leftChars="12" w:firstLine="472" w:firstLineChars="196"/>
        <w:contextualSpacing/>
        <w:rPr>
          <w:rFonts w:hAnsi="宋体"/>
          <w:b/>
          <w:color w:val="auto"/>
          <w:sz w:val="24"/>
          <w:szCs w:val="24"/>
          <w:highlight w:val="none"/>
        </w:rPr>
      </w:pPr>
      <w:r>
        <w:rPr>
          <w:rFonts w:hint="eastAsia" w:hAnsi="宋体"/>
          <w:b/>
          <w:color w:val="auto"/>
          <w:sz w:val="24"/>
          <w:szCs w:val="24"/>
          <w:highlight w:val="none"/>
        </w:rPr>
        <w:t>三、质疑事项具体内容</w:t>
      </w:r>
    </w:p>
    <w:p w14:paraId="13CAF69E">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质疑事项1：</w:t>
      </w:r>
      <w:r>
        <w:rPr>
          <w:rFonts w:hint="eastAsia" w:hAnsi="宋体"/>
          <w:bCs/>
          <w:color w:val="auto"/>
          <w:sz w:val="24"/>
          <w:szCs w:val="24"/>
          <w:highlight w:val="none"/>
          <w:u w:val="single"/>
        </w:rPr>
        <w:t xml:space="preserve">                                                                    </w:t>
      </w:r>
    </w:p>
    <w:p w14:paraId="6C63BCC6">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事实依据：</w:t>
      </w:r>
      <w:r>
        <w:rPr>
          <w:rFonts w:hint="eastAsia" w:hAnsi="宋体"/>
          <w:bCs/>
          <w:color w:val="auto"/>
          <w:sz w:val="24"/>
          <w:szCs w:val="24"/>
          <w:highlight w:val="none"/>
          <w:u w:val="single"/>
        </w:rPr>
        <w:t xml:space="preserve">                                                                      </w:t>
      </w:r>
    </w:p>
    <w:p w14:paraId="494DECAB">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法律依据：</w:t>
      </w:r>
      <w:r>
        <w:rPr>
          <w:rFonts w:hint="eastAsia" w:hAnsi="宋体"/>
          <w:color w:val="auto"/>
          <w:sz w:val="24"/>
          <w:szCs w:val="24"/>
          <w:highlight w:val="none"/>
          <w:u w:val="single"/>
        </w:rPr>
        <w:t xml:space="preserve">                                                        </w:t>
      </w:r>
      <w:r>
        <w:rPr>
          <w:rFonts w:hint="eastAsia" w:hAnsi="宋体"/>
          <w:bCs/>
          <w:color w:val="auto"/>
          <w:sz w:val="24"/>
          <w:szCs w:val="24"/>
          <w:highlight w:val="none"/>
          <w:u w:val="single"/>
        </w:rPr>
        <w:t xml:space="preserve">               </w:t>
      </w:r>
    </w:p>
    <w:p w14:paraId="4D7D35F6">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质疑事项2</w:t>
      </w:r>
    </w:p>
    <w:p w14:paraId="578BF00A">
      <w:pPr>
        <w:pStyle w:val="12"/>
        <w:spacing w:line="360" w:lineRule="auto"/>
        <w:ind w:left="25" w:leftChars="12" w:firstLine="472" w:firstLineChars="197"/>
        <w:contextualSpacing/>
        <w:rPr>
          <w:rFonts w:hAnsi="宋体"/>
          <w:color w:val="auto"/>
          <w:sz w:val="24"/>
          <w:szCs w:val="24"/>
          <w:highlight w:val="none"/>
        </w:rPr>
      </w:pPr>
      <w:r>
        <w:rPr>
          <w:rFonts w:hAnsi="宋体"/>
          <w:color w:val="auto"/>
          <w:sz w:val="24"/>
          <w:szCs w:val="24"/>
          <w:highlight w:val="none"/>
        </w:rPr>
        <w:t>……</w:t>
      </w:r>
    </w:p>
    <w:p w14:paraId="2E848906">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四、与质疑事项相关的质疑请求：</w:t>
      </w:r>
    </w:p>
    <w:p w14:paraId="2D897968">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请求：</w:t>
      </w:r>
      <w:r>
        <w:rPr>
          <w:rFonts w:hint="eastAsia" w:hAnsi="宋体"/>
          <w:bCs/>
          <w:color w:val="auto"/>
          <w:sz w:val="24"/>
          <w:szCs w:val="24"/>
          <w:highlight w:val="none"/>
          <w:u w:val="single"/>
        </w:rPr>
        <w:t xml:space="preserve">                                                                </w:t>
      </w:r>
    </w:p>
    <w:p w14:paraId="0E03568A">
      <w:pPr>
        <w:pStyle w:val="12"/>
        <w:spacing w:line="360" w:lineRule="auto"/>
        <w:ind w:left="25" w:leftChars="12" w:firstLine="352" w:firstLineChars="147"/>
        <w:contextualSpacing/>
        <w:rPr>
          <w:rFonts w:hAnsi="宋体"/>
          <w:color w:val="auto"/>
          <w:sz w:val="24"/>
          <w:szCs w:val="24"/>
          <w:highlight w:val="none"/>
        </w:rPr>
      </w:pPr>
    </w:p>
    <w:p w14:paraId="311B91C0">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签字（签章）：                                       公章：</w:t>
      </w:r>
    </w:p>
    <w:p w14:paraId="09B32D46">
      <w:pPr>
        <w:pStyle w:val="12"/>
        <w:spacing w:line="360" w:lineRule="auto"/>
        <w:ind w:left="25" w:leftChars="12" w:firstLine="352" w:firstLineChars="147"/>
        <w:contextualSpacing/>
        <w:rPr>
          <w:rFonts w:hAnsi="宋体"/>
          <w:color w:val="auto"/>
          <w:sz w:val="24"/>
          <w:szCs w:val="24"/>
          <w:highlight w:val="none"/>
        </w:rPr>
      </w:pPr>
    </w:p>
    <w:p w14:paraId="39DC8496">
      <w:pPr>
        <w:pStyle w:val="12"/>
        <w:spacing w:line="360" w:lineRule="auto"/>
        <w:ind w:left="25" w:leftChars="12" w:firstLine="472" w:firstLineChars="197"/>
        <w:contextualSpacing/>
        <w:rPr>
          <w:rFonts w:hAnsi="宋体"/>
          <w:color w:val="auto"/>
          <w:sz w:val="24"/>
          <w:szCs w:val="24"/>
          <w:highlight w:val="none"/>
        </w:rPr>
      </w:pPr>
      <w:r>
        <w:rPr>
          <w:rFonts w:hint="eastAsia" w:hAnsi="宋体"/>
          <w:color w:val="auto"/>
          <w:sz w:val="24"/>
          <w:szCs w:val="24"/>
          <w:highlight w:val="none"/>
        </w:rPr>
        <w:t>日期：</w:t>
      </w:r>
    </w:p>
    <w:p w14:paraId="5BD74422">
      <w:pPr>
        <w:pStyle w:val="12"/>
        <w:spacing w:line="360" w:lineRule="auto"/>
        <w:contextualSpacing/>
        <w:rPr>
          <w:rFonts w:hAnsi="宋体"/>
          <w:b/>
          <w:color w:val="auto"/>
          <w:sz w:val="24"/>
          <w:szCs w:val="24"/>
          <w:highlight w:val="none"/>
        </w:rPr>
      </w:pPr>
    </w:p>
    <w:p w14:paraId="6C5DBDCA">
      <w:pPr>
        <w:pStyle w:val="12"/>
        <w:spacing w:line="360" w:lineRule="auto"/>
        <w:contextualSpacing/>
        <w:rPr>
          <w:rFonts w:hAnsi="宋体"/>
          <w:b/>
          <w:color w:val="auto"/>
          <w:sz w:val="24"/>
          <w:szCs w:val="24"/>
          <w:highlight w:val="none"/>
        </w:rPr>
      </w:pPr>
    </w:p>
    <w:p w14:paraId="6346EEBC">
      <w:pPr>
        <w:pStyle w:val="12"/>
        <w:spacing w:line="360" w:lineRule="auto"/>
        <w:contextualSpacing/>
        <w:rPr>
          <w:rFonts w:hAnsi="宋体"/>
          <w:b/>
          <w:color w:val="auto"/>
          <w:sz w:val="24"/>
          <w:szCs w:val="24"/>
          <w:highlight w:val="none"/>
        </w:rPr>
      </w:pPr>
      <w:r>
        <w:rPr>
          <w:rFonts w:hint="eastAsia" w:hAnsi="宋体"/>
          <w:b/>
          <w:color w:val="auto"/>
          <w:sz w:val="24"/>
          <w:szCs w:val="24"/>
          <w:highlight w:val="none"/>
        </w:rPr>
        <w:t>说明：</w:t>
      </w:r>
    </w:p>
    <w:p w14:paraId="334181FB">
      <w:pPr>
        <w:pStyle w:val="12"/>
        <w:spacing w:line="360" w:lineRule="auto"/>
        <w:ind w:left="25" w:leftChars="12" w:firstLine="354" w:firstLineChars="147"/>
        <w:contextualSpacing/>
        <w:rPr>
          <w:rFonts w:hAnsi="宋体"/>
          <w:b/>
          <w:bCs/>
          <w:color w:val="auto"/>
          <w:sz w:val="24"/>
          <w:szCs w:val="24"/>
          <w:highlight w:val="none"/>
        </w:rPr>
      </w:pPr>
      <w:r>
        <w:rPr>
          <w:rFonts w:hint="eastAsia" w:hAnsi="宋体"/>
          <w:b/>
          <w:color w:val="auto"/>
          <w:sz w:val="24"/>
          <w:szCs w:val="24"/>
          <w:highlight w:val="none"/>
        </w:rPr>
        <w:t>1.供应商提出质疑时，应提交质疑函和必要的证明材料</w:t>
      </w:r>
      <w:r>
        <w:rPr>
          <w:rFonts w:hint="eastAsia" w:hAnsi="宋体"/>
          <w:b/>
          <w:bCs/>
          <w:color w:val="auto"/>
          <w:sz w:val="24"/>
          <w:szCs w:val="24"/>
          <w:highlight w:val="none"/>
        </w:rPr>
        <w:t>。</w:t>
      </w:r>
    </w:p>
    <w:p w14:paraId="7324524C">
      <w:pPr>
        <w:pStyle w:val="12"/>
        <w:spacing w:line="360" w:lineRule="auto"/>
        <w:ind w:left="25" w:leftChars="12" w:firstLine="354" w:firstLineChars="147"/>
        <w:contextualSpacing/>
        <w:rPr>
          <w:rFonts w:hAnsi="宋体"/>
          <w:b/>
          <w:color w:val="auto"/>
          <w:sz w:val="24"/>
          <w:szCs w:val="24"/>
          <w:highlight w:val="none"/>
        </w:rPr>
      </w:pPr>
      <w:r>
        <w:rPr>
          <w:rFonts w:hint="eastAsia" w:hAnsi="宋体"/>
          <w:b/>
          <w:color w:val="auto"/>
          <w:sz w:val="24"/>
          <w:szCs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53761ED3">
      <w:pPr>
        <w:pStyle w:val="12"/>
        <w:spacing w:line="360" w:lineRule="auto"/>
        <w:ind w:left="25" w:leftChars="12" w:firstLine="354" w:firstLineChars="147"/>
        <w:contextualSpacing/>
        <w:rPr>
          <w:rFonts w:hAnsi="宋体"/>
          <w:b/>
          <w:color w:val="auto"/>
          <w:sz w:val="24"/>
          <w:szCs w:val="24"/>
          <w:highlight w:val="none"/>
        </w:rPr>
      </w:pPr>
      <w:r>
        <w:rPr>
          <w:rFonts w:hint="eastAsia" w:hAnsi="宋体"/>
          <w:b/>
          <w:color w:val="auto"/>
          <w:sz w:val="24"/>
          <w:szCs w:val="24"/>
          <w:highlight w:val="none"/>
        </w:rPr>
        <w:t>3.质疑函的质疑事项应具体、明确，并有必要的事实依据和法律依据。</w:t>
      </w:r>
    </w:p>
    <w:p w14:paraId="7589702C">
      <w:pPr>
        <w:pStyle w:val="12"/>
        <w:spacing w:line="360" w:lineRule="auto"/>
        <w:ind w:left="25" w:leftChars="12" w:firstLine="354" w:firstLineChars="147"/>
        <w:contextualSpacing/>
        <w:rPr>
          <w:rFonts w:hAnsi="宋体"/>
          <w:b/>
          <w:color w:val="auto"/>
          <w:sz w:val="24"/>
          <w:szCs w:val="24"/>
          <w:highlight w:val="none"/>
        </w:rPr>
      </w:pPr>
      <w:r>
        <w:rPr>
          <w:rFonts w:hint="eastAsia" w:hAnsi="宋体"/>
          <w:b/>
          <w:color w:val="auto"/>
          <w:sz w:val="24"/>
          <w:szCs w:val="24"/>
          <w:highlight w:val="none"/>
        </w:rPr>
        <w:t>4.质疑函的质疑请求应与质疑事项相关。</w:t>
      </w:r>
    </w:p>
    <w:p w14:paraId="34A13AED">
      <w:pPr>
        <w:pStyle w:val="12"/>
        <w:spacing w:line="360" w:lineRule="auto"/>
        <w:ind w:left="25" w:leftChars="12" w:firstLine="354" w:firstLineChars="147"/>
        <w:contextualSpacing/>
        <w:rPr>
          <w:rFonts w:hAnsi="宋体"/>
          <w:b/>
          <w:color w:val="auto"/>
          <w:highlight w:val="none"/>
        </w:rPr>
      </w:pPr>
      <w:r>
        <w:rPr>
          <w:rFonts w:hint="eastAsia" w:hAnsi="宋体"/>
          <w:b/>
          <w:color w:val="auto"/>
          <w:sz w:val="24"/>
          <w:szCs w:val="24"/>
          <w:highlight w:val="none"/>
        </w:rPr>
        <w:t>5.质疑供应商为法人或者其他组织的，质疑函应由法定代表人、主要负责人，或者其授权代表签字或者盖章，并加盖公章。</w:t>
      </w:r>
    </w:p>
    <w:p w14:paraId="285E6227">
      <w:pPr>
        <w:pStyle w:val="12"/>
        <w:snapToGrid w:val="0"/>
        <w:rPr>
          <w:b/>
          <w:color w:val="auto"/>
          <w:sz w:val="24"/>
          <w:szCs w:val="24"/>
          <w:highlight w:val="none"/>
        </w:rPr>
      </w:pPr>
    </w:p>
    <w:p w14:paraId="47E833A8">
      <w:pPr>
        <w:spacing w:line="460" w:lineRule="exact"/>
        <w:jc w:val="center"/>
        <w:rPr>
          <w:rFonts w:eastAsia="隶书"/>
          <w:color w:val="auto"/>
          <w:sz w:val="44"/>
          <w:highlight w:val="none"/>
        </w:rPr>
      </w:pPr>
      <w:r>
        <w:rPr>
          <w:rFonts w:eastAsia="隶书"/>
          <w:color w:val="auto"/>
          <w:sz w:val="44"/>
          <w:highlight w:val="none"/>
        </w:rPr>
        <w:br w:type="page"/>
      </w:r>
    </w:p>
    <w:p w14:paraId="3212846E">
      <w:pPr>
        <w:spacing w:line="360" w:lineRule="auto"/>
        <w:jc w:val="center"/>
        <w:rPr>
          <w:rFonts w:ascii="宋体" w:hAnsi="宋体"/>
          <w:b/>
          <w:bCs/>
          <w:color w:val="auto"/>
          <w:sz w:val="32"/>
          <w:szCs w:val="32"/>
          <w:highlight w:val="none"/>
        </w:rPr>
      </w:pPr>
      <w:r>
        <w:rPr>
          <w:rFonts w:hint="eastAsia" w:ascii="宋体" w:hAnsi="宋体"/>
          <w:b/>
          <w:bCs/>
          <w:color w:val="auto"/>
          <w:sz w:val="32"/>
          <w:szCs w:val="32"/>
          <w:highlight w:val="none"/>
        </w:rPr>
        <w:t>投诉书（格式）</w:t>
      </w:r>
    </w:p>
    <w:p w14:paraId="0B6F45FB">
      <w:pPr>
        <w:pStyle w:val="12"/>
        <w:snapToGrid w:val="0"/>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rPr>
        <w:t>一、投诉相关主体基本情况：</w:t>
      </w:r>
    </w:p>
    <w:p w14:paraId="46DC75BD">
      <w:pPr>
        <w:pStyle w:val="12"/>
        <w:snapToGrid w:val="0"/>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供应商：</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129DBF69">
      <w:pPr>
        <w:pStyle w:val="12"/>
        <w:snapToGrid w:val="0"/>
        <w:spacing w:line="360" w:lineRule="auto"/>
        <w:ind w:firstLine="480" w:firstLineChars="200"/>
        <w:rPr>
          <w:rFonts w:hAnsi="宋体"/>
          <w:bCs/>
          <w:color w:val="auto"/>
          <w:sz w:val="24"/>
          <w:szCs w:val="24"/>
          <w:highlight w:val="none"/>
        </w:rPr>
      </w:pPr>
      <w:r>
        <w:rPr>
          <w:rFonts w:hAnsi="宋体"/>
          <w:bCs/>
          <w:color w:val="auto"/>
          <w:sz w:val="24"/>
          <w:szCs w:val="24"/>
          <w:highlight w:val="none"/>
        </w:rPr>
        <w:t>地址</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Ansi="宋体"/>
          <w:bCs/>
          <w:color w:val="auto"/>
          <w:sz w:val="24"/>
          <w:szCs w:val="24"/>
          <w:highlight w:val="none"/>
        </w:rPr>
        <w:t>邮编</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48C4DA43">
      <w:pPr>
        <w:pStyle w:val="12"/>
        <w:snapToGrid w:val="0"/>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法定代表人/主要负责人：</w:t>
      </w:r>
      <w:r>
        <w:rPr>
          <w:rFonts w:hint="eastAsia" w:hAnsi="宋体"/>
          <w:bCs/>
          <w:color w:val="auto"/>
          <w:sz w:val="24"/>
          <w:szCs w:val="24"/>
          <w:highlight w:val="none"/>
          <w:u w:val="single"/>
        </w:rPr>
        <w:t xml:space="preserve">                                                         </w:t>
      </w:r>
    </w:p>
    <w:p w14:paraId="42F6223E">
      <w:pPr>
        <w:pStyle w:val="12"/>
        <w:snapToGrid w:val="0"/>
        <w:spacing w:line="360" w:lineRule="auto"/>
        <w:ind w:firstLine="480" w:firstLineChars="200"/>
        <w:rPr>
          <w:rFonts w:hAnsi="宋体"/>
          <w:bCs/>
          <w:color w:val="auto"/>
          <w:sz w:val="24"/>
          <w:szCs w:val="24"/>
          <w:highlight w:val="none"/>
        </w:rPr>
      </w:pPr>
      <w:r>
        <w:rPr>
          <w:rFonts w:hAnsi="宋体"/>
          <w:bCs/>
          <w:color w:val="auto"/>
          <w:sz w:val="24"/>
          <w:szCs w:val="24"/>
          <w:highlight w:val="none"/>
        </w:rPr>
        <w:t>联系电话</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p>
    <w:p w14:paraId="778C7F8F">
      <w:pPr>
        <w:pStyle w:val="12"/>
        <w:snapToGrid w:val="0"/>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授权代表：</w:t>
      </w:r>
      <w:r>
        <w:rPr>
          <w:rFonts w:hint="eastAsia" w:hAnsi="宋体"/>
          <w:bCs/>
          <w:color w:val="auto"/>
          <w:sz w:val="24"/>
          <w:szCs w:val="24"/>
          <w:highlight w:val="none"/>
          <w:u w:val="single"/>
        </w:rPr>
        <w:t xml:space="preserve">                                         </w:t>
      </w:r>
      <w:r>
        <w:rPr>
          <w:rFonts w:hAnsi="宋体"/>
          <w:bCs/>
          <w:color w:val="auto"/>
          <w:sz w:val="24"/>
          <w:szCs w:val="24"/>
          <w:highlight w:val="none"/>
        </w:rPr>
        <w:t>联系</w:t>
      </w:r>
      <w:r>
        <w:rPr>
          <w:rFonts w:hint="eastAsia" w:hAnsi="宋体"/>
          <w:bCs/>
          <w:color w:val="auto"/>
          <w:sz w:val="24"/>
          <w:szCs w:val="24"/>
          <w:highlight w:val="none"/>
        </w:rPr>
        <w:t>电话：</w:t>
      </w:r>
      <w:r>
        <w:rPr>
          <w:rFonts w:hint="eastAsia" w:hAnsi="宋体"/>
          <w:bCs/>
          <w:color w:val="auto"/>
          <w:sz w:val="24"/>
          <w:szCs w:val="24"/>
          <w:highlight w:val="none"/>
          <w:u w:val="single"/>
        </w:rPr>
        <w:t xml:space="preserve">                   </w:t>
      </w:r>
    </w:p>
    <w:p w14:paraId="64068563">
      <w:pPr>
        <w:pStyle w:val="12"/>
        <w:snapToGrid w:val="0"/>
        <w:spacing w:line="360" w:lineRule="auto"/>
        <w:ind w:firstLine="480" w:firstLineChars="200"/>
        <w:rPr>
          <w:rFonts w:hAnsi="宋体"/>
          <w:bCs/>
          <w:color w:val="auto"/>
          <w:sz w:val="24"/>
          <w:szCs w:val="24"/>
          <w:highlight w:val="none"/>
          <w:u w:val="single"/>
        </w:rPr>
      </w:pPr>
      <w:r>
        <w:rPr>
          <w:rFonts w:hAnsi="宋体"/>
          <w:bCs/>
          <w:color w:val="auto"/>
          <w:sz w:val="24"/>
          <w:szCs w:val="24"/>
          <w:highlight w:val="none"/>
        </w:rPr>
        <w:t>地址</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p>
    <w:p w14:paraId="69380B4B">
      <w:pPr>
        <w:pStyle w:val="12"/>
        <w:snapToGrid w:val="0"/>
        <w:spacing w:line="360" w:lineRule="auto"/>
        <w:ind w:firstLine="480" w:firstLineChars="200"/>
        <w:rPr>
          <w:rFonts w:hAnsi="宋体"/>
          <w:bCs/>
          <w:color w:val="auto"/>
          <w:sz w:val="24"/>
          <w:szCs w:val="24"/>
          <w:highlight w:val="none"/>
        </w:rPr>
      </w:pPr>
      <w:r>
        <w:rPr>
          <w:rFonts w:hAnsi="宋体"/>
          <w:bCs/>
          <w:color w:val="auto"/>
          <w:sz w:val="24"/>
          <w:szCs w:val="24"/>
          <w:highlight w:val="none"/>
        </w:rPr>
        <w:t>邮编</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26161E67">
      <w:pPr>
        <w:pStyle w:val="12"/>
        <w:snapToGrid w:val="0"/>
        <w:spacing w:line="360" w:lineRule="auto"/>
        <w:ind w:firstLine="480" w:firstLineChars="200"/>
        <w:rPr>
          <w:rFonts w:hAnsi="宋体"/>
          <w:bCs/>
          <w:color w:val="auto"/>
          <w:sz w:val="24"/>
          <w:szCs w:val="24"/>
          <w:highlight w:val="none"/>
        </w:rPr>
      </w:pPr>
      <w:r>
        <w:rPr>
          <w:rFonts w:hint="eastAsia" w:hAnsi="宋体"/>
          <w:bCs/>
          <w:color w:val="auto"/>
          <w:sz w:val="24"/>
          <w:szCs w:val="24"/>
          <w:highlight w:val="none"/>
        </w:rPr>
        <w:t>被投诉人1：</w:t>
      </w:r>
    </w:p>
    <w:p w14:paraId="39992D4F">
      <w:pPr>
        <w:pStyle w:val="12"/>
        <w:snapToGrid w:val="0"/>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地址：</w:t>
      </w:r>
      <w:r>
        <w:rPr>
          <w:rFonts w:hint="eastAsia" w:hAnsi="宋体"/>
          <w:bCs/>
          <w:color w:val="auto"/>
          <w:sz w:val="24"/>
          <w:szCs w:val="24"/>
          <w:highlight w:val="none"/>
          <w:u w:val="single"/>
        </w:rPr>
        <w:t xml:space="preserve">                                                            </w:t>
      </w:r>
    </w:p>
    <w:p w14:paraId="446C0C03">
      <w:pPr>
        <w:pStyle w:val="12"/>
        <w:snapToGrid w:val="0"/>
        <w:spacing w:line="360" w:lineRule="auto"/>
        <w:ind w:firstLine="480" w:firstLineChars="200"/>
        <w:rPr>
          <w:rFonts w:hAnsi="宋体"/>
          <w:bCs/>
          <w:color w:val="auto"/>
          <w:sz w:val="24"/>
          <w:szCs w:val="24"/>
          <w:highlight w:val="none"/>
        </w:rPr>
      </w:pPr>
      <w:r>
        <w:rPr>
          <w:rFonts w:hAnsi="宋体"/>
          <w:bCs/>
          <w:color w:val="auto"/>
          <w:sz w:val="24"/>
          <w:szCs w:val="24"/>
          <w:highlight w:val="none"/>
        </w:rPr>
        <w:t>邮编</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0015A08B">
      <w:pPr>
        <w:pStyle w:val="12"/>
        <w:snapToGrid w:val="0"/>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联系人：</w:t>
      </w:r>
      <w:r>
        <w:rPr>
          <w:rFonts w:hint="eastAsia" w:hAnsi="宋体"/>
          <w:bCs/>
          <w:color w:val="auto"/>
          <w:sz w:val="24"/>
          <w:szCs w:val="24"/>
          <w:highlight w:val="none"/>
          <w:u w:val="single"/>
        </w:rPr>
        <w:t xml:space="preserve">                                                </w:t>
      </w:r>
      <w:r>
        <w:rPr>
          <w:rFonts w:hAnsi="宋体"/>
          <w:bCs/>
          <w:color w:val="auto"/>
          <w:sz w:val="24"/>
          <w:szCs w:val="24"/>
          <w:highlight w:val="none"/>
        </w:rPr>
        <w:t>联系</w:t>
      </w:r>
      <w:r>
        <w:rPr>
          <w:rFonts w:hint="eastAsia" w:hAnsi="宋体"/>
          <w:bCs/>
          <w:color w:val="auto"/>
          <w:sz w:val="24"/>
          <w:szCs w:val="24"/>
          <w:highlight w:val="none"/>
        </w:rPr>
        <w:t>电话：</w:t>
      </w:r>
      <w:r>
        <w:rPr>
          <w:rFonts w:hint="eastAsia" w:hAnsi="宋体"/>
          <w:bCs/>
          <w:color w:val="auto"/>
          <w:sz w:val="24"/>
          <w:szCs w:val="24"/>
          <w:highlight w:val="none"/>
          <w:u w:val="single"/>
        </w:rPr>
        <w:t xml:space="preserve">                </w:t>
      </w:r>
    </w:p>
    <w:p w14:paraId="58BC929E">
      <w:pPr>
        <w:pStyle w:val="12"/>
        <w:snapToGrid w:val="0"/>
        <w:spacing w:line="360" w:lineRule="auto"/>
        <w:ind w:firstLine="480" w:firstLineChars="200"/>
        <w:rPr>
          <w:rFonts w:hAnsi="宋体"/>
          <w:bCs/>
          <w:color w:val="auto"/>
          <w:sz w:val="24"/>
          <w:szCs w:val="24"/>
          <w:highlight w:val="none"/>
        </w:rPr>
      </w:pPr>
      <w:r>
        <w:rPr>
          <w:rFonts w:hint="eastAsia" w:hAnsi="宋体"/>
          <w:bCs/>
          <w:color w:val="auto"/>
          <w:sz w:val="24"/>
          <w:szCs w:val="24"/>
          <w:highlight w:val="none"/>
        </w:rPr>
        <w:t>被投诉人2：</w:t>
      </w:r>
    </w:p>
    <w:p w14:paraId="555191FD">
      <w:pPr>
        <w:pStyle w:val="12"/>
        <w:snapToGrid w:val="0"/>
        <w:spacing w:line="360" w:lineRule="auto"/>
        <w:ind w:firstLine="480" w:firstLineChars="200"/>
        <w:rPr>
          <w:rFonts w:hAnsi="宋体"/>
          <w:bCs/>
          <w:color w:val="auto"/>
          <w:sz w:val="24"/>
          <w:szCs w:val="24"/>
          <w:highlight w:val="none"/>
        </w:rPr>
      </w:pPr>
      <w:r>
        <w:rPr>
          <w:rFonts w:hAnsi="宋体"/>
          <w:bCs/>
          <w:color w:val="auto"/>
          <w:sz w:val="24"/>
          <w:szCs w:val="24"/>
          <w:highlight w:val="none"/>
        </w:rPr>
        <w:t>……</w:t>
      </w:r>
    </w:p>
    <w:p w14:paraId="355A6F2D">
      <w:pPr>
        <w:pStyle w:val="12"/>
        <w:snapToGrid w:val="0"/>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相关供应商：</w:t>
      </w:r>
      <w:r>
        <w:rPr>
          <w:rFonts w:hint="eastAsia" w:hAnsi="宋体"/>
          <w:bCs/>
          <w:color w:val="auto"/>
          <w:sz w:val="24"/>
          <w:szCs w:val="24"/>
          <w:highlight w:val="none"/>
          <w:u w:val="single"/>
        </w:rPr>
        <w:t xml:space="preserve">                                                                       </w:t>
      </w:r>
    </w:p>
    <w:p w14:paraId="6967EA23">
      <w:pPr>
        <w:pStyle w:val="12"/>
        <w:snapToGrid w:val="0"/>
        <w:spacing w:line="360" w:lineRule="auto"/>
        <w:ind w:firstLine="480" w:firstLineChars="200"/>
        <w:rPr>
          <w:rFonts w:hAnsi="宋体"/>
          <w:bCs/>
          <w:color w:val="auto"/>
          <w:sz w:val="24"/>
          <w:szCs w:val="24"/>
          <w:highlight w:val="none"/>
          <w:u w:val="single"/>
        </w:rPr>
      </w:pPr>
      <w:r>
        <w:rPr>
          <w:rFonts w:hAnsi="宋体"/>
          <w:bCs/>
          <w:color w:val="auto"/>
          <w:sz w:val="24"/>
          <w:szCs w:val="24"/>
          <w:highlight w:val="none"/>
        </w:rPr>
        <w:t>地址</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r>
        <w:rPr>
          <w:rFonts w:hAnsi="宋体"/>
          <w:bCs/>
          <w:color w:val="auto"/>
          <w:sz w:val="24"/>
          <w:szCs w:val="24"/>
          <w:highlight w:val="none"/>
        </w:rPr>
        <w:t>邮编</w:t>
      </w:r>
      <w:r>
        <w:rPr>
          <w:rFonts w:hint="eastAsia" w:hAnsi="宋体"/>
          <w:bCs/>
          <w:color w:val="auto"/>
          <w:sz w:val="24"/>
          <w:szCs w:val="24"/>
          <w:highlight w:val="none"/>
        </w:rPr>
        <w:t>：</w:t>
      </w:r>
      <w:r>
        <w:rPr>
          <w:rFonts w:hint="eastAsia" w:hAnsi="宋体"/>
          <w:bCs/>
          <w:color w:val="auto"/>
          <w:sz w:val="24"/>
          <w:szCs w:val="24"/>
          <w:highlight w:val="none"/>
          <w:u w:val="single"/>
        </w:rPr>
        <w:t xml:space="preserve">                         </w:t>
      </w:r>
    </w:p>
    <w:p w14:paraId="528E23EB">
      <w:pPr>
        <w:pStyle w:val="12"/>
        <w:snapToGrid w:val="0"/>
        <w:spacing w:line="360" w:lineRule="auto"/>
        <w:ind w:firstLine="480" w:firstLineChars="200"/>
        <w:rPr>
          <w:rFonts w:hAnsi="宋体"/>
          <w:bCs/>
          <w:color w:val="auto"/>
          <w:sz w:val="24"/>
          <w:szCs w:val="24"/>
          <w:highlight w:val="none"/>
        </w:rPr>
      </w:pPr>
      <w:r>
        <w:rPr>
          <w:rFonts w:hint="eastAsia" w:hAnsi="宋体"/>
          <w:bCs/>
          <w:color w:val="auto"/>
          <w:sz w:val="24"/>
          <w:szCs w:val="24"/>
          <w:highlight w:val="none"/>
        </w:rPr>
        <w:t>联系人：</w:t>
      </w:r>
      <w:r>
        <w:rPr>
          <w:rFonts w:hint="eastAsia" w:hAnsi="宋体"/>
          <w:bCs/>
          <w:color w:val="auto"/>
          <w:sz w:val="24"/>
          <w:szCs w:val="24"/>
          <w:highlight w:val="none"/>
          <w:u w:val="single"/>
        </w:rPr>
        <w:t xml:space="preserve">                                            </w:t>
      </w:r>
      <w:r>
        <w:rPr>
          <w:rFonts w:hAnsi="宋体"/>
          <w:bCs/>
          <w:color w:val="auto"/>
          <w:sz w:val="24"/>
          <w:szCs w:val="24"/>
          <w:highlight w:val="none"/>
        </w:rPr>
        <w:t>联系</w:t>
      </w:r>
      <w:r>
        <w:rPr>
          <w:rFonts w:hint="eastAsia" w:hAnsi="宋体"/>
          <w:bCs/>
          <w:color w:val="auto"/>
          <w:sz w:val="24"/>
          <w:szCs w:val="24"/>
          <w:highlight w:val="none"/>
        </w:rPr>
        <w:t>电话：</w:t>
      </w:r>
      <w:r>
        <w:rPr>
          <w:rFonts w:hint="eastAsia" w:hAnsi="宋体"/>
          <w:bCs/>
          <w:color w:val="auto"/>
          <w:sz w:val="24"/>
          <w:szCs w:val="24"/>
          <w:highlight w:val="none"/>
          <w:u w:val="single"/>
        </w:rPr>
        <w:t xml:space="preserve">                     </w:t>
      </w:r>
      <w:r>
        <w:rPr>
          <w:rFonts w:hint="eastAsia" w:hAnsi="宋体"/>
          <w:bCs/>
          <w:color w:val="auto"/>
          <w:sz w:val="24"/>
          <w:szCs w:val="24"/>
          <w:highlight w:val="none"/>
        </w:rPr>
        <w:t xml:space="preserve">                </w:t>
      </w:r>
    </w:p>
    <w:p w14:paraId="3204DB18">
      <w:pPr>
        <w:pStyle w:val="12"/>
        <w:snapToGrid w:val="0"/>
        <w:spacing w:line="360" w:lineRule="auto"/>
        <w:ind w:firstLine="482" w:firstLineChars="200"/>
        <w:rPr>
          <w:rFonts w:hAnsi="宋体"/>
          <w:b/>
          <w:bCs/>
          <w:color w:val="auto"/>
          <w:sz w:val="24"/>
          <w:szCs w:val="24"/>
          <w:highlight w:val="none"/>
        </w:rPr>
      </w:pPr>
      <w:r>
        <w:rPr>
          <w:rFonts w:hint="eastAsia" w:hAnsi="宋体"/>
          <w:b/>
          <w:bCs/>
          <w:color w:val="auto"/>
          <w:sz w:val="24"/>
          <w:szCs w:val="24"/>
          <w:highlight w:val="none"/>
        </w:rPr>
        <w:t>二、投诉项目基本情况：</w:t>
      </w:r>
    </w:p>
    <w:p w14:paraId="7F55F0B2">
      <w:pPr>
        <w:pStyle w:val="12"/>
        <w:spacing w:line="360" w:lineRule="auto"/>
        <w:ind w:left="25" w:leftChars="12" w:firstLine="472" w:firstLineChars="197"/>
        <w:rPr>
          <w:rFonts w:hAnsi="宋体"/>
          <w:color w:val="auto"/>
          <w:sz w:val="24"/>
          <w:szCs w:val="24"/>
          <w:highlight w:val="none"/>
        </w:rPr>
      </w:pPr>
      <w:r>
        <w:rPr>
          <w:rFonts w:hint="eastAsia" w:hAnsi="宋体"/>
          <w:bCs/>
          <w:color w:val="auto"/>
          <w:sz w:val="24"/>
          <w:szCs w:val="24"/>
          <w:highlight w:val="none"/>
        </w:rPr>
        <w:t>采购</w:t>
      </w:r>
      <w:r>
        <w:rPr>
          <w:rFonts w:hint="eastAsia" w:hAnsi="宋体"/>
          <w:color w:val="auto"/>
          <w:sz w:val="24"/>
          <w:szCs w:val="24"/>
          <w:highlight w:val="none"/>
        </w:rPr>
        <w:t>项目的名称：</w:t>
      </w:r>
      <w:r>
        <w:rPr>
          <w:rFonts w:hint="eastAsia" w:hAnsi="宋体"/>
          <w:bCs/>
          <w:color w:val="auto"/>
          <w:sz w:val="24"/>
          <w:szCs w:val="24"/>
          <w:highlight w:val="none"/>
          <w:u w:val="single"/>
        </w:rPr>
        <w:t xml:space="preserve">                                                                   </w:t>
      </w:r>
    </w:p>
    <w:p w14:paraId="1EFFD9B9">
      <w:pPr>
        <w:pStyle w:val="12"/>
        <w:spacing w:line="360" w:lineRule="auto"/>
        <w:ind w:left="25" w:leftChars="12" w:firstLine="472" w:firstLineChars="197"/>
        <w:rPr>
          <w:rFonts w:hAnsi="宋体"/>
          <w:color w:val="auto"/>
          <w:sz w:val="24"/>
          <w:szCs w:val="24"/>
          <w:highlight w:val="none"/>
        </w:rPr>
      </w:pPr>
      <w:r>
        <w:rPr>
          <w:rFonts w:hint="eastAsia" w:hAnsi="宋体"/>
          <w:bCs/>
          <w:color w:val="auto"/>
          <w:sz w:val="24"/>
          <w:szCs w:val="24"/>
          <w:highlight w:val="none"/>
        </w:rPr>
        <w:t>采购</w:t>
      </w:r>
      <w:r>
        <w:rPr>
          <w:rFonts w:hint="eastAsia" w:hAnsi="宋体"/>
          <w:color w:val="auto"/>
          <w:sz w:val="24"/>
          <w:szCs w:val="24"/>
          <w:highlight w:val="none"/>
        </w:rPr>
        <w:t>项目的编号：</w:t>
      </w:r>
      <w:r>
        <w:rPr>
          <w:rFonts w:hint="eastAsia" w:hAnsi="宋体"/>
          <w:bCs/>
          <w:color w:val="auto"/>
          <w:sz w:val="24"/>
          <w:szCs w:val="24"/>
          <w:highlight w:val="none"/>
          <w:u w:val="single"/>
        </w:rPr>
        <w:t xml:space="preserve">                                          </w:t>
      </w:r>
    </w:p>
    <w:p w14:paraId="585047D3">
      <w:pPr>
        <w:pStyle w:val="12"/>
        <w:spacing w:line="360" w:lineRule="auto"/>
        <w:ind w:left="25" w:leftChars="12" w:firstLine="472" w:firstLineChars="197"/>
        <w:rPr>
          <w:rFonts w:hAnsi="宋体"/>
          <w:bCs/>
          <w:color w:val="auto"/>
          <w:sz w:val="24"/>
          <w:szCs w:val="24"/>
          <w:highlight w:val="none"/>
          <w:u w:val="single"/>
        </w:rPr>
      </w:pPr>
      <w:r>
        <w:rPr>
          <w:rFonts w:hint="eastAsia" w:hAnsi="宋体"/>
          <w:color w:val="auto"/>
          <w:sz w:val="24"/>
          <w:szCs w:val="24"/>
          <w:highlight w:val="none"/>
        </w:rPr>
        <w:t>采购人名称：</w:t>
      </w:r>
      <w:r>
        <w:rPr>
          <w:rFonts w:hint="eastAsia" w:hAnsi="宋体"/>
          <w:bCs/>
          <w:color w:val="auto"/>
          <w:sz w:val="24"/>
          <w:szCs w:val="24"/>
          <w:highlight w:val="none"/>
          <w:u w:val="single"/>
        </w:rPr>
        <w:t xml:space="preserve">                                                                        </w:t>
      </w:r>
    </w:p>
    <w:p w14:paraId="1AE05DA5">
      <w:pPr>
        <w:pStyle w:val="12"/>
        <w:spacing w:line="360" w:lineRule="auto"/>
        <w:ind w:left="25" w:leftChars="12" w:firstLine="472" w:firstLineChars="197"/>
        <w:rPr>
          <w:rFonts w:hAnsi="宋体"/>
          <w:bCs/>
          <w:color w:val="auto"/>
          <w:sz w:val="24"/>
          <w:szCs w:val="24"/>
          <w:highlight w:val="none"/>
          <w:u w:val="single"/>
        </w:rPr>
      </w:pPr>
      <w:r>
        <w:rPr>
          <w:rFonts w:hint="eastAsia" w:hAnsi="宋体"/>
          <w:color w:val="auto"/>
          <w:sz w:val="24"/>
          <w:szCs w:val="24"/>
          <w:highlight w:val="none"/>
        </w:rPr>
        <w:t>代理机构名称：</w:t>
      </w:r>
      <w:r>
        <w:rPr>
          <w:rFonts w:hint="eastAsia" w:hAnsi="宋体"/>
          <w:bCs/>
          <w:color w:val="auto"/>
          <w:sz w:val="24"/>
          <w:szCs w:val="24"/>
          <w:highlight w:val="none"/>
          <w:u w:val="single"/>
        </w:rPr>
        <w:t xml:space="preserve">                                                                      </w:t>
      </w:r>
    </w:p>
    <w:p w14:paraId="2C753D50">
      <w:pPr>
        <w:pStyle w:val="12"/>
        <w:spacing w:line="360" w:lineRule="auto"/>
        <w:ind w:left="25" w:leftChars="12" w:firstLine="472" w:firstLineChars="197"/>
        <w:rPr>
          <w:rFonts w:hAnsi="宋体"/>
          <w:bCs/>
          <w:color w:val="auto"/>
          <w:sz w:val="24"/>
          <w:szCs w:val="24"/>
          <w:highlight w:val="none"/>
          <w:u w:val="single"/>
        </w:rPr>
      </w:pPr>
      <w:r>
        <w:rPr>
          <w:rFonts w:hint="eastAsia" w:hAnsi="宋体"/>
          <w:bCs/>
          <w:color w:val="auto"/>
          <w:sz w:val="24"/>
          <w:szCs w:val="24"/>
          <w:highlight w:val="none"/>
          <w:lang w:eastAsia="zh-CN"/>
        </w:rPr>
        <w:t>采购文件</w:t>
      </w:r>
      <w:r>
        <w:rPr>
          <w:rFonts w:hint="eastAsia" w:hAnsi="宋体"/>
          <w:bCs/>
          <w:color w:val="auto"/>
          <w:sz w:val="24"/>
          <w:szCs w:val="24"/>
          <w:highlight w:val="none"/>
        </w:rPr>
        <w:t>公告：</w:t>
      </w:r>
      <w:r>
        <w:rPr>
          <w:rFonts w:hint="eastAsia" w:hAnsi="宋体"/>
          <w:bCs/>
          <w:color w:val="auto"/>
          <w:sz w:val="24"/>
          <w:szCs w:val="24"/>
          <w:highlight w:val="none"/>
          <w:u w:val="single"/>
        </w:rPr>
        <w:t>是/否</w:t>
      </w:r>
      <w:r>
        <w:rPr>
          <w:rFonts w:hint="eastAsia" w:hAnsi="宋体"/>
          <w:bCs/>
          <w:color w:val="auto"/>
          <w:sz w:val="24"/>
          <w:szCs w:val="24"/>
          <w:highlight w:val="none"/>
        </w:rPr>
        <w:t>公告期限：</w:t>
      </w:r>
      <w:r>
        <w:rPr>
          <w:rFonts w:hint="eastAsia" w:hAnsi="宋体"/>
          <w:bCs/>
          <w:color w:val="auto"/>
          <w:sz w:val="24"/>
          <w:szCs w:val="24"/>
          <w:highlight w:val="none"/>
          <w:u w:val="single"/>
        </w:rPr>
        <w:t xml:space="preserve">                                                       </w:t>
      </w:r>
    </w:p>
    <w:p w14:paraId="28BDECA6">
      <w:pPr>
        <w:pStyle w:val="12"/>
        <w:spacing w:line="360" w:lineRule="auto"/>
        <w:ind w:left="25" w:leftChars="12" w:firstLine="472" w:firstLineChars="197"/>
        <w:rPr>
          <w:rFonts w:hAnsi="宋体"/>
          <w:b/>
          <w:color w:val="auto"/>
          <w:sz w:val="24"/>
          <w:szCs w:val="24"/>
          <w:highlight w:val="none"/>
        </w:rPr>
      </w:pPr>
      <w:r>
        <w:rPr>
          <w:rFonts w:hint="eastAsia" w:hAnsi="宋体"/>
          <w:bCs/>
          <w:color w:val="auto"/>
          <w:sz w:val="24"/>
          <w:szCs w:val="24"/>
          <w:highlight w:val="none"/>
        </w:rPr>
        <w:t>采购结果公告：</w:t>
      </w:r>
      <w:r>
        <w:rPr>
          <w:rFonts w:hint="eastAsia" w:hAnsi="宋体"/>
          <w:bCs/>
          <w:color w:val="auto"/>
          <w:sz w:val="24"/>
          <w:szCs w:val="24"/>
          <w:highlight w:val="none"/>
          <w:u w:val="single"/>
        </w:rPr>
        <w:t>是/否</w:t>
      </w:r>
      <w:r>
        <w:rPr>
          <w:rFonts w:hint="eastAsia" w:hAnsi="宋体"/>
          <w:bCs/>
          <w:color w:val="auto"/>
          <w:sz w:val="24"/>
          <w:szCs w:val="24"/>
          <w:highlight w:val="none"/>
        </w:rPr>
        <w:t>公告期限：</w:t>
      </w:r>
      <w:r>
        <w:rPr>
          <w:rFonts w:hint="eastAsia" w:hAnsi="宋体"/>
          <w:bCs/>
          <w:color w:val="auto"/>
          <w:sz w:val="24"/>
          <w:szCs w:val="24"/>
          <w:highlight w:val="none"/>
          <w:u w:val="single"/>
        </w:rPr>
        <w:t xml:space="preserve">                                                       </w:t>
      </w:r>
    </w:p>
    <w:p w14:paraId="192C53D4">
      <w:pPr>
        <w:pStyle w:val="12"/>
        <w:spacing w:line="360" w:lineRule="auto"/>
        <w:ind w:left="25" w:leftChars="12" w:firstLine="472" w:firstLineChars="196"/>
        <w:rPr>
          <w:rFonts w:hAnsi="宋体"/>
          <w:b/>
          <w:color w:val="auto"/>
          <w:sz w:val="24"/>
          <w:szCs w:val="24"/>
          <w:highlight w:val="none"/>
        </w:rPr>
      </w:pPr>
      <w:r>
        <w:rPr>
          <w:rFonts w:hint="eastAsia" w:hAnsi="宋体"/>
          <w:b/>
          <w:color w:val="auto"/>
          <w:sz w:val="24"/>
          <w:szCs w:val="24"/>
          <w:highlight w:val="none"/>
        </w:rPr>
        <w:t>三、质疑基本情况</w:t>
      </w:r>
    </w:p>
    <w:p w14:paraId="5498B658">
      <w:pPr>
        <w:pStyle w:val="12"/>
        <w:spacing w:line="360" w:lineRule="auto"/>
        <w:ind w:firstLine="480" w:firstLineChars="200"/>
        <w:rPr>
          <w:rFonts w:hAnsi="宋体"/>
          <w:color w:val="auto"/>
          <w:sz w:val="24"/>
          <w:szCs w:val="24"/>
          <w:highlight w:val="none"/>
        </w:rPr>
      </w:pPr>
      <w:r>
        <w:rPr>
          <w:rFonts w:hint="eastAsia" w:hAnsi="宋体"/>
          <w:color w:val="auto"/>
          <w:sz w:val="24"/>
          <w:szCs w:val="24"/>
          <w:highlight w:val="none"/>
        </w:rPr>
        <w:t>投诉人于</w:t>
      </w:r>
      <w:r>
        <w:rPr>
          <w:rFonts w:hint="eastAsia" w:hAnsi="宋体"/>
          <w:color w:val="auto"/>
          <w:sz w:val="24"/>
          <w:szCs w:val="24"/>
          <w:highlight w:val="none"/>
          <w:u w:val="single"/>
        </w:rPr>
        <w:t xml:space="preserve">      </w:t>
      </w:r>
      <w:r>
        <w:rPr>
          <w:rFonts w:hint="eastAsia" w:hAnsi="宋体"/>
          <w:color w:val="auto"/>
          <w:sz w:val="24"/>
          <w:szCs w:val="24"/>
          <w:highlight w:val="none"/>
        </w:rPr>
        <w:t>年</w:t>
      </w:r>
      <w:r>
        <w:rPr>
          <w:rFonts w:hint="eastAsia" w:hAnsi="宋体"/>
          <w:color w:val="auto"/>
          <w:sz w:val="24"/>
          <w:szCs w:val="24"/>
          <w:highlight w:val="none"/>
          <w:u w:val="single"/>
        </w:rPr>
        <w:t xml:space="preserve">   </w:t>
      </w:r>
      <w:r>
        <w:rPr>
          <w:rFonts w:hint="eastAsia" w:hAnsi="宋体"/>
          <w:color w:val="auto"/>
          <w:sz w:val="24"/>
          <w:szCs w:val="24"/>
          <w:highlight w:val="none"/>
        </w:rPr>
        <w:t>月</w:t>
      </w:r>
      <w:r>
        <w:rPr>
          <w:rFonts w:hint="eastAsia" w:hAnsi="宋体"/>
          <w:color w:val="auto"/>
          <w:sz w:val="24"/>
          <w:szCs w:val="24"/>
          <w:highlight w:val="none"/>
          <w:u w:val="single"/>
        </w:rPr>
        <w:t xml:space="preserve">   </w:t>
      </w:r>
      <w:r>
        <w:rPr>
          <w:rFonts w:hint="eastAsia" w:hAnsi="宋体"/>
          <w:color w:val="auto"/>
          <w:sz w:val="24"/>
          <w:szCs w:val="24"/>
          <w:highlight w:val="none"/>
        </w:rPr>
        <w:t>日，向</w:t>
      </w:r>
      <w:r>
        <w:rPr>
          <w:rFonts w:hint="eastAsia" w:hAnsi="宋体"/>
          <w:color w:val="auto"/>
          <w:sz w:val="24"/>
          <w:szCs w:val="24"/>
          <w:highlight w:val="none"/>
          <w:u w:val="single"/>
        </w:rPr>
        <w:t xml:space="preserve">                                </w:t>
      </w:r>
      <w:r>
        <w:rPr>
          <w:rFonts w:hint="eastAsia" w:hAnsi="宋体"/>
          <w:color w:val="auto"/>
          <w:sz w:val="24"/>
          <w:szCs w:val="24"/>
          <w:highlight w:val="none"/>
        </w:rPr>
        <w:t>提出质疑，质疑事项为：</w:t>
      </w:r>
    </w:p>
    <w:p w14:paraId="01982F01">
      <w:pPr>
        <w:pStyle w:val="12"/>
        <w:spacing w:line="360" w:lineRule="auto"/>
        <w:ind w:firstLine="241"/>
        <w:rPr>
          <w:rFonts w:hAnsi="宋体"/>
          <w:bCs/>
          <w:color w:val="auto"/>
          <w:sz w:val="24"/>
          <w:szCs w:val="24"/>
          <w:highlight w:val="none"/>
          <w:u w:val="single"/>
        </w:rPr>
      </w:pPr>
      <w:r>
        <w:rPr>
          <w:rFonts w:hint="eastAsia" w:hAnsi="宋体"/>
          <w:color w:val="auto"/>
          <w:sz w:val="24"/>
          <w:szCs w:val="24"/>
          <w:highlight w:val="none"/>
        </w:rPr>
        <w:t xml:space="preserve">    </w:t>
      </w:r>
      <w:r>
        <w:rPr>
          <w:rFonts w:hint="eastAsia" w:hAnsi="宋体"/>
          <w:bCs/>
          <w:color w:val="auto"/>
          <w:sz w:val="24"/>
          <w:szCs w:val="24"/>
          <w:highlight w:val="none"/>
          <w:u w:val="single"/>
        </w:rPr>
        <w:t xml:space="preserve">                                                                                      </w:t>
      </w:r>
    </w:p>
    <w:p w14:paraId="464FF575">
      <w:pPr>
        <w:pStyle w:val="12"/>
        <w:spacing w:line="360" w:lineRule="auto"/>
        <w:ind w:firstLine="241"/>
        <w:rPr>
          <w:rFonts w:hAnsi="宋体"/>
          <w:bCs/>
          <w:color w:val="auto"/>
          <w:sz w:val="24"/>
          <w:szCs w:val="24"/>
          <w:highlight w:val="none"/>
          <w:u w:val="single"/>
        </w:rPr>
      </w:pPr>
      <w:r>
        <w:rPr>
          <w:rFonts w:hint="eastAsia" w:hAnsi="宋体"/>
          <w:bCs/>
          <w:color w:val="auto"/>
          <w:sz w:val="24"/>
          <w:szCs w:val="24"/>
          <w:highlight w:val="none"/>
        </w:rPr>
        <w:t xml:space="preserve">    </w:t>
      </w:r>
      <w:r>
        <w:rPr>
          <w:rFonts w:hint="eastAsia" w:hAnsi="宋体"/>
          <w:bCs/>
          <w:color w:val="auto"/>
          <w:sz w:val="24"/>
          <w:szCs w:val="24"/>
          <w:highlight w:val="none"/>
          <w:u w:val="single"/>
        </w:rPr>
        <w:t xml:space="preserve">                                                                                      </w:t>
      </w:r>
    </w:p>
    <w:p w14:paraId="048856E9">
      <w:pPr>
        <w:pStyle w:val="12"/>
        <w:spacing w:line="360" w:lineRule="auto"/>
        <w:ind w:firstLine="480" w:firstLineChars="200"/>
        <w:rPr>
          <w:rFonts w:hAnsi="宋体"/>
          <w:color w:val="auto"/>
          <w:sz w:val="24"/>
          <w:szCs w:val="24"/>
          <w:highlight w:val="none"/>
        </w:rPr>
      </w:pPr>
      <w:r>
        <w:rPr>
          <w:rFonts w:hint="eastAsia" w:hAnsi="宋体"/>
          <w:bCs/>
          <w:color w:val="auto"/>
          <w:sz w:val="24"/>
          <w:szCs w:val="24"/>
          <w:highlight w:val="none"/>
          <w:u w:val="single"/>
        </w:rPr>
        <w:t>采购人/代理机构</w:t>
      </w:r>
      <w:r>
        <w:rPr>
          <w:rFonts w:hint="eastAsia" w:hAnsi="宋体"/>
          <w:bCs/>
          <w:color w:val="auto"/>
          <w:sz w:val="24"/>
          <w:szCs w:val="24"/>
          <w:highlight w:val="none"/>
        </w:rPr>
        <w:t>于</w:t>
      </w:r>
      <w:r>
        <w:rPr>
          <w:rFonts w:hint="eastAsia" w:hAnsi="宋体"/>
          <w:color w:val="auto"/>
          <w:sz w:val="24"/>
          <w:szCs w:val="24"/>
          <w:highlight w:val="none"/>
          <w:u w:val="single"/>
        </w:rPr>
        <w:t xml:space="preserve">      </w:t>
      </w:r>
      <w:r>
        <w:rPr>
          <w:rFonts w:hint="eastAsia" w:hAnsi="宋体"/>
          <w:color w:val="auto"/>
          <w:sz w:val="24"/>
          <w:szCs w:val="24"/>
          <w:highlight w:val="none"/>
        </w:rPr>
        <w:t>年</w:t>
      </w:r>
      <w:r>
        <w:rPr>
          <w:rFonts w:hint="eastAsia" w:hAnsi="宋体"/>
          <w:color w:val="auto"/>
          <w:sz w:val="24"/>
          <w:szCs w:val="24"/>
          <w:highlight w:val="none"/>
          <w:u w:val="single"/>
        </w:rPr>
        <w:t xml:space="preserve">   </w:t>
      </w:r>
      <w:r>
        <w:rPr>
          <w:rFonts w:hint="eastAsia" w:hAnsi="宋体"/>
          <w:color w:val="auto"/>
          <w:sz w:val="24"/>
          <w:szCs w:val="24"/>
          <w:highlight w:val="none"/>
        </w:rPr>
        <w:t>月</w:t>
      </w:r>
      <w:r>
        <w:rPr>
          <w:rFonts w:hint="eastAsia" w:hAnsi="宋体"/>
          <w:color w:val="auto"/>
          <w:sz w:val="24"/>
          <w:szCs w:val="24"/>
          <w:highlight w:val="none"/>
          <w:u w:val="single"/>
        </w:rPr>
        <w:t xml:space="preserve">   </w:t>
      </w:r>
      <w:r>
        <w:rPr>
          <w:rFonts w:hint="eastAsia" w:hAnsi="宋体"/>
          <w:color w:val="auto"/>
          <w:sz w:val="24"/>
          <w:szCs w:val="24"/>
          <w:highlight w:val="none"/>
        </w:rPr>
        <w:t>日，</w:t>
      </w:r>
      <w:r>
        <w:rPr>
          <w:rFonts w:hint="eastAsia" w:hAnsi="宋体"/>
          <w:bCs/>
          <w:color w:val="auto"/>
          <w:sz w:val="24"/>
          <w:szCs w:val="24"/>
          <w:highlight w:val="none"/>
        </w:rPr>
        <w:t xml:space="preserve">就质疑事项作出了答复/没有在法定期限内作出答复。                                                                                             </w:t>
      </w:r>
    </w:p>
    <w:p w14:paraId="7D7AD992">
      <w:pPr>
        <w:pStyle w:val="12"/>
        <w:spacing w:line="360" w:lineRule="auto"/>
        <w:ind w:left="25" w:leftChars="12" w:firstLine="472" w:firstLineChars="196"/>
        <w:rPr>
          <w:rFonts w:hAnsi="宋体"/>
          <w:b/>
          <w:color w:val="auto"/>
          <w:sz w:val="24"/>
          <w:szCs w:val="24"/>
          <w:highlight w:val="none"/>
        </w:rPr>
      </w:pPr>
      <w:r>
        <w:rPr>
          <w:rFonts w:hint="eastAsia" w:hAnsi="宋体"/>
          <w:b/>
          <w:color w:val="auto"/>
          <w:sz w:val="24"/>
          <w:szCs w:val="24"/>
          <w:highlight w:val="none"/>
        </w:rPr>
        <w:t>四、投诉事项具体内容</w:t>
      </w:r>
    </w:p>
    <w:p w14:paraId="6CF9A754">
      <w:pPr>
        <w:pStyle w:val="12"/>
        <w:spacing w:line="360" w:lineRule="auto"/>
        <w:ind w:left="25" w:leftChars="12" w:firstLine="472" w:firstLineChars="197"/>
        <w:rPr>
          <w:rFonts w:hAnsi="宋体"/>
          <w:bCs/>
          <w:color w:val="auto"/>
          <w:sz w:val="24"/>
          <w:szCs w:val="24"/>
          <w:highlight w:val="none"/>
          <w:u w:val="single"/>
        </w:rPr>
      </w:pPr>
      <w:r>
        <w:rPr>
          <w:rFonts w:hint="eastAsia" w:hAnsi="宋体"/>
          <w:color w:val="auto"/>
          <w:sz w:val="24"/>
          <w:szCs w:val="24"/>
          <w:highlight w:val="none"/>
        </w:rPr>
        <w:t>投诉事项1：</w:t>
      </w:r>
      <w:r>
        <w:rPr>
          <w:rFonts w:hint="eastAsia" w:hAnsi="宋体"/>
          <w:bCs/>
          <w:color w:val="auto"/>
          <w:sz w:val="24"/>
          <w:szCs w:val="24"/>
          <w:highlight w:val="none"/>
          <w:u w:val="single"/>
        </w:rPr>
        <w:t xml:space="preserve">                                                                           </w:t>
      </w:r>
    </w:p>
    <w:p w14:paraId="409533EE">
      <w:pPr>
        <w:pStyle w:val="12"/>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事实依据：</w:t>
      </w:r>
      <w:r>
        <w:rPr>
          <w:rFonts w:hint="eastAsia" w:hAnsi="宋体"/>
          <w:color w:val="auto"/>
          <w:sz w:val="24"/>
          <w:szCs w:val="24"/>
          <w:highlight w:val="none"/>
        </w:rPr>
        <w:t xml:space="preserve"> </w:t>
      </w:r>
      <w:r>
        <w:rPr>
          <w:rFonts w:hint="eastAsia" w:hAnsi="宋体"/>
          <w:bCs/>
          <w:color w:val="auto"/>
          <w:sz w:val="24"/>
          <w:szCs w:val="24"/>
          <w:highlight w:val="none"/>
          <w:u w:val="single"/>
        </w:rPr>
        <w:t xml:space="preserve">                                                                                      </w:t>
      </w:r>
    </w:p>
    <w:p w14:paraId="36F61963">
      <w:pPr>
        <w:pStyle w:val="12"/>
        <w:spacing w:line="360" w:lineRule="auto"/>
        <w:ind w:left="25" w:leftChars="12" w:firstLine="472" w:firstLineChars="197"/>
        <w:rPr>
          <w:rFonts w:hAnsi="宋体"/>
          <w:color w:val="auto"/>
          <w:sz w:val="24"/>
          <w:szCs w:val="24"/>
          <w:highlight w:val="none"/>
        </w:rPr>
      </w:pPr>
      <w:r>
        <w:rPr>
          <w:rFonts w:hint="eastAsia" w:hAnsi="宋体"/>
          <w:bCs/>
          <w:color w:val="auto"/>
          <w:sz w:val="24"/>
          <w:szCs w:val="24"/>
          <w:highlight w:val="none"/>
          <w:u w:val="single"/>
        </w:rPr>
        <w:t xml:space="preserve">                                                                                        </w:t>
      </w:r>
    </w:p>
    <w:p w14:paraId="1A38C255">
      <w:pPr>
        <w:pStyle w:val="12"/>
        <w:spacing w:line="360" w:lineRule="auto"/>
        <w:ind w:firstLine="480" w:firstLineChars="200"/>
        <w:rPr>
          <w:rFonts w:hAnsi="宋体"/>
          <w:bCs/>
          <w:color w:val="auto"/>
          <w:sz w:val="24"/>
          <w:szCs w:val="24"/>
          <w:highlight w:val="none"/>
          <w:u w:val="single"/>
        </w:rPr>
      </w:pPr>
      <w:r>
        <w:rPr>
          <w:rFonts w:hint="eastAsia" w:hAnsi="宋体"/>
          <w:bCs/>
          <w:color w:val="auto"/>
          <w:sz w:val="24"/>
          <w:szCs w:val="24"/>
          <w:highlight w:val="none"/>
        </w:rPr>
        <w:t>法律依据：</w:t>
      </w:r>
      <w:r>
        <w:rPr>
          <w:rFonts w:hint="eastAsia" w:hAnsi="宋体"/>
          <w:color w:val="auto"/>
          <w:sz w:val="24"/>
          <w:szCs w:val="24"/>
          <w:highlight w:val="none"/>
        </w:rPr>
        <w:t xml:space="preserve"> </w:t>
      </w:r>
      <w:r>
        <w:rPr>
          <w:rFonts w:hint="eastAsia" w:hAnsi="宋体"/>
          <w:bCs/>
          <w:color w:val="auto"/>
          <w:sz w:val="24"/>
          <w:szCs w:val="24"/>
          <w:highlight w:val="none"/>
          <w:u w:val="single"/>
        </w:rPr>
        <w:t xml:space="preserve">                                                                                      </w:t>
      </w:r>
    </w:p>
    <w:p w14:paraId="0E8408C7">
      <w:pPr>
        <w:pStyle w:val="12"/>
        <w:spacing w:line="360" w:lineRule="auto"/>
        <w:ind w:left="25" w:leftChars="12" w:firstLine="352" w:firstLineChars="147"/>
        <w:rPr>
          <w:rFonts w:hAnsi="宋体"/>
          <w:bCs/>
          <w:color w:val="auto"/>
          <w:sz w:val="24"/>
          <w:szCs w:val="24"/>
          <w:highlight w:val="none"/>
          <w:u w:val="single"/>
        </w:rPr>
      </w:pPr>
      <w:r>
        <w:rPr>
          <w:rFonts w:hint="eastAsia" w:hAnsi="宋体"/>
          <w:bCs/>
          <w:color w:val="auto"/>
          <w:sz w:val="24"/>
          <w:szCs w:val="24"/>
          <w:highlight w:val="none"/>
        </w:rPr>
        <w:t xml:space="preserve"> </w:t>
      </w:r>
      <w:r>
        <w:rPr>
          <w:rFonts w:hint="eastAsia" w:hAnsi="宋体"/>
          <w:bCs/>
          <w:color w:val="auto"/>
          <w:sz w:val="24"/>
          <w:szCs w:val="24"/>
          <w:highlight w:val="none"/>
          <w:u w:val="single"/>
        </w:rPr>
        <w:t xml:space="preserve">                                                                                        </w:t>
      </w:r>
    </w:p>
    <w:p w14:paraId="7A518239">
      <w:pPr>
        <w:pStyle w:val="12"/>
        <w:spacing w:line="360" w:lineRule="auto"/>
        <w:ind w:left="25" w:leftChars="12" w:firstLine="472" w:firstLineChars="197"/>
        <w:rPr>
          <w:rFonts w:hAnsi="宋体"/>
          <w:bCs/>
          <w:color w:val="auto"/>
          <w:sz w:val="24"/>
          <w:szCs w:val="24"/>
          <w:highlight w:val="none"/>
        </w:rPr>
      </w:pPr>
      <w:r>
        <w:rPr>
          <w:rFonts w:hint="eastAsia" w:hAnsi="宋体"/>
          <w:color w:val="auto"/>
          <w:sz w:val="24"/>
          <w:szCs w:val="24"/>
          <w:highlight w:val="none"/>
        </w:rPr>
        <w:t xml:space="preserve">投诉事项2  </w:t>
      </w:r>
      <w:r>
        <w:rPr>
          <w:rFonts w:hint="eastAsia" w:hAnsi="宋体"/>
          <w:bCs/>
          <w:color w:val="auto"/>
          <w:sz w:val="24"/>
          <w:szCs w:val="24"/>
          <w:highlight w:val="none"/>
        </w:rPr>
        <w:t xml:space="preserve">   </w:t>
      </w:r>
    </w:p>
    <w:p w14:paraId="23FDACEF">
      <w:pPr>
        <w:pStyle w:val="12"/>
        <w:spacing w:line="360" w:lineRule="auto"/>
        <w:ind w:left="25" w:leftChars="12" w:firstLine="472" w:firstLineChars="197"/>
        <w:rPr>
          <w:rFonts w:hAnsi="宋体"/>
          <w:bCs/>
          <w:color w:val="auto"/>
          <w:sz w:val="24"/>
          <w:szCs w:val="24"/>
          <w:highlight w:val="none"/>
        </w:rPr>
      </w:pPr>
      <w:r>
        <w:rPr>
          <w:rFonts w:hAnsi="宋体"/>
          <w:bCs/>
          <w:color w:val="auto"/>
          <w:sz w:val="24"/>
          <w:szCs w:val="24"/>
          <w:highlight w:val="none"/>
        </w:rPr>
        <w:t>……</w:t>
      </w:r>
    </w:p>
    <w:p w14:paraId="55E019C6">
      <w:pPr>
        <w:pStyle w:val="12"/>
        <w:spacing w:line="360" w:lineRule="auto"/>
        <w:ind w:left="25" w:leftChars="12" w:firstLine="472" w:firstLineChars="196"/>
        <w:rPr>
          <w:rFonts w:hAnsi="宋体"/>
          <w:b/>
          <w:color w:val="auto"/>
          <w:sz w:val="24"/>
          <w:szCs w:val="24"/>
          <w:highlight w:val="none"/>
        </w:rPr>
      </w:pPr>
      <w:r>
        <w:rPr>
          <w:rFonts w:hint="eastAsia" w:hAnsi="宋体"/>
          <w:b/>
          <w:color w:val="auto"/>
          <w:sz w:val="24"/>
          <w:szCs w:val="24"/>
          <w:highlight w:val="none"/>
        </w:rPr>
        <w:t>五、与投诉事项相关的投诉请求：</w:t>
      </w:r>
    </w:p>
    <w:p w14:paraId="1149AFAD">
      <w:pPr>
        <w:pStyle w:val="12"/>
        <w:spacing w:line="360" w:lineRule="auto"/>
        <w:ind w:left="25" w:leftChars="12" w:firstLine="472" w:firstLineChars="197"/>
        <w:rPr>
          <w:rFonts w:hAnsi="宋体"/>
          <w:color w:val="auto"/>
          <w:sz w:val="24"/>
          <w:szCs w:val="24"/>
          <w:highlight w:val="none"/>
        </w:rPr>
      </w:pPr>
      <w:r>
        <w:rPr>
          <w:rFonts w:hint="eastAsia" w:hAnsi="宋体"/>
          <w:color w:val="auto"/>
          <w:sz w:val="24"/>
          <w:szCs w:val="24"/>
          <w:highlight w:val="none"/>
        </w:rPr>
        <w:t>请求：</w:t>
      </w:r>
      <w:r>
        <w:rPr>
          <w:rFonts w:hint="eastAsia" w:hAnsi="宋体"/>
          <w:bCs/>
          <w:color w:val="auto"/>
          <w:sz w:val="24"/>
          <w:szCs w:val="24"/>
          <w:highlight w:val="none"/>
          <w:u w:val="single"/>
        </w:rPr>
        <w:t xml:space="preserve">                                                                                 </w:t>
      </w:r>
    </w:p>
    <w:p w14:paraId="52E54528">
      <w:pPr>
        <w:pStyle w:val="12"/>
        <w:spacing w:line="360" w:lineRule="auto"/>
        <w:ind w:left="25" w:leftChars="12" w:firstLine="352" w:firstLineChars="147"/>
        <w:rPr>
          <w:rFonts w:hAnsi="宋体"/>
          <w:color w:val="auto"/>
          <w:sz w:val="24"/>
          <w:szCs w:val="24"/>
          <w:highlight w:val="none"/>
        </w:rPr>
      </w:pPr>
    </w:p>
    <w:p w14:paraId="409AEA0B">
      <w:pPr>
        <w:pStyle w:val="12"/>
        <w:spacing w:line="360" w:lineRule="auto"/>
        <w:ind w:left="25" w:leftChars="12" w:firstLine="472" w:firstLineChars="197"/>
        <w:rPr>
          <w:rFonts w:hAnsi="宋体"/>
          <w:color w:val="auto"/>
          <w:sz w:val="24"/>
          <w:szCs w:val="24"/>
          <w:highlight w:val="none"/>
        </w:rPr>
      </w:pPr>
      <w:r>
        <w:rPr>
          <w:rFonts w:hint="eastAsia" w:hAnsi="宋体"/>
          <w:color w:val="auto"/>
          <w:sz w:val="24"/>
          <w:szCs w:val="24"/>
          <w:highlight w:val="none"/>
        </w:rPr>
        <w:t>签字（签章）：                                       公章：</w:t>
      </w:r>
    </w:p>
    <w:p w14:paraId="12119206">
      <w:pPr>
        <w:pStyle w:val="12"/>
        <w:spacing w:line="360" w:lineRule="auto"/>
        <w:ind w:left="25" w:leftChars="12" w:firstLine="352" w:firstLineChars="147"/>
        <w:rPr>
          <w:rFonts w:hAnsi="宋体"/>
          <w:color w:val="auto"/>
          <w:sz w:val="24"/>
          <w:szCs w:val="24"/>
          <w:highlight w:val="none"/>
        </w:rPr>
      </w:pPr>
    </w:p>
    <w:p w14:paraId="471BA47B">
      <w:pPr>
        <w:pStyle w:val="12"/>
        <w:spacing w:line="360" w:lineRule="auto"/>
        <w:ind w:left="25" w:leftChars="12" w:firstLine="472" w:firstLineChars="197"/>
        <w:rPr>
          <w:rFonts w:hAnsi="宋体"/>
          <w:color w:val="auto"/>
          <w:sz w:val="24"/>
          <w:szCs w:val="24"/>
          <w:highlight w:val="none"/>
        </w:rPr>
      </w:pPr>
      <w:r>
        <w:rPr>
          <w:rFonts w:hint="eastAsia" w:hAnsi="宋体"/>
          <w:color w:val="auto"/>
          <w:sz w:val="24"/>
          <w:szCs w:val="24"/>
          <w:highlight w:val="none"/>
        </w:rPr>
        <w:t>日期：</w:t>
      </w:r>
    </w:p>
    <w:p w14:paraId="0A81D449">
      <w:pPr>
        <w:pStyle w:val="12"/>
        <w:spacing w:line="360" w:lineRule="auto"/>
        <w:ind w:left="25" w:leftChars="12" w:firstLine="472" w:firstLineChars="197"/>
        <w:rPr>
          <w:rFonts w:hAnsi="宋体"/>
          <w:color w:val="auto"/>
          <w:sz w:val="24"/>
          <w:szCs w:val="24"/>
          <w:highlight w:val="none"/>
        </w:rPr>
      </w:pPr>
      <w:r>
        <w:rPr>
          <w:rFonts w:hint="eastAsia" w:hAnsi="宋体"/>
          <w:bCs/>
          <w:color w:val="auto"/>
          <w:sz w:val="24"/>
          <w:szCs w:val="24"/>
          <w:highlight w:val="none"/>
        </w:rPr>
        <w:t xml:space="preserve">                                                                                 </w:t>
      </w:r>
    </w:p>
    <w:p w14:paraId="31B9A094">
      <w:pPr>
        <w:pStyle w:val="12"/>
        <w:snapToGrid w:val="0"/>
        <w:spacing w:line="360" w:lineRule="auto"/>
        <w:rPr>
          <w:rFonts w:hAnsi="宋体"/>
          <w:b/>
          <w:color w:val="auto"/>
          <w:sz w:val="24"/>
          <w:szCs w:val="24"/>
          <w:highlight w:val="none"/>
        </w:rPr>
      </w:pPr>
    </w:p>
    <w:p w14:paraId="3952201D">
      <w:pPr>
        <w:pStyle w:val="12"/>
        <w:snapToGrid w:val="0"/>
        <w:spacing w:line="360" w:lineRule="auto"/>
        <w:rPr>
          <w:rFonts w:hAnsi="宋体"/>
          <w:b/>
          <w:color w:val="auto"/>
          <w:sz w:val="24"/>
          <w:szCs w:val="24"/>
          <w:highlight w:val="none"/>
        </w:rPr>
      </w:pPr>
      <w:r>
        <w:rPr>
          <w:rFonts w:hint="eastAsia" w:hAnsi="宋体"/>
          <w:b/>
          <w:color w:val="auto"/>
          <w:sz w:val="24"/>
          <w:szCs w:val="24"/>
          <w:highlight w:val="none"/>
        </w:rPr>
        <w:t>说明：</w:t>
      </w:r>
    </w:p>
    <w:p w14:paraId="1EA6C3EA">
      <w:pPr>
        <w:pStyle w:val="12"/>
        <w:spacing w:line="360" w:lineRule="auto"/>
        <w:ind w:left="25" w:leftChars="12" w:firstLine="354" w:firstLineChars="147"/>
        <w:rPr>
          <w:rFonts w:hAnsi="宋体"/>
          <w:b/>
          <w:bCs/>
          <w:color w:val="auto"/>
          <w:sz w:val="24"/>
          <w:szCs w:val="24"/>
          <w:highlight w:val="none"/>
        </w:rPr>
      </w:pPr>
      <w:r>
        <w:rPr>
          <w:rFonts w:hint="eastAsia" w:hAnsi="宋体"/>
          <w:b/>
          <w:color w:val="auto"/>
          <w:sz w:val="24"/>
          <w:szCs w:val="24"/>
          <w:highlight w:val="none"/>
        </w:rPr>
        <w:t>1.投诉人提起投诉时，应当提交投诉书和必要的证明材料，并按照被投诉人和与投诉事项有关的供应商数量提供投诉书副本</w:t>
      </w:r>
      <w:r>
        <w:rPr>
          <w:rFonts w:hint="eastAsia" w:hAnsi="宋体"/>
          <w:b/>
          <w:bCs/>
          <w:color w:val="auto"/>
          <w:sz w:val="24"/>
          <w:szCs w:val="24"/>
          <w:highlight w:val="none"/>
        </w:rPr>
        <w:t>。</w:t>
      </w:r>
    </w:p>
    <w:p w14:paraId="7EB6B781">
      <w:pPr>
        <w:pStyle w:val="12"/>
        <w:spacing w:line="360" w:lineRule="auto"/>
        <w:ind w:left="25" w:leftChars="12" w:firstLine="354" w:firstLineChars="147"/>
        <w:rPr>
          <w:rFonts w:hAnsi="宋体"/>
          <w:b/>
          <w:color w:val="auto"/>
          <w:sz w:val="24"/>
          <w:szCs w:val="24"/>
          <w:highlight w:val="none"/>
        </w:rPr>
      </w:pPr>
      <w:r>
        <w:rPr>
          <w:rFonts w:hint="eastAsia" w:hAnsi="宋体"/>
          <w:b/>
          <w:color w:val="auto"/>
          <w:sz w:val="24"/>
          <w:szCs w:val="24"/>
          <w:highlight w:val="none"/>
        </w:rPr>
        <w:t>2.投诉人若委托代理人进行投诉的，投诉书应按要求列明“授权代表”的有关内容，并在附件中提交由投诉人签署的授权委托书。授权委托书应当载明代理人的姓名或者名称、代理事项、具体权限、期限和相关事项。</w:t>
      </w:r>
    </w:p>
    <w:p w14:paraId="42AAC55A">
      <w:pPr>
        <w:pStyle w:val="12"/>
        <w:spacing w:line="360" w:lineRule="auto"/>
        <w:ind w:left="25" w:leftChars="12" w:firstLine="354" w:firstLineChars="147"/>
        <w:rPr>
          <w:rFonts w:hAnsi="宋体"/>
          <w:b/>
          <w:color w:val="auto"/>
          <w:sz w:val="24"/>
          <w:szCs w:val="24"/>
          <w:highlight w:val="none"/>
        </w:rPr>
      </w:pPr>
      <w:r>
        <w:rPr>
          <w:rFonts w:hint="eastAsia" w:hAnsi="宋体"/>
          <w:b/>
          <w:color w:val="auto"/>
          <w:sz w:val="24"/>
          <w:szCs w:val="24"/>
          <w:highlight w:val="none"/>
        </w:rPr>
        <w:t>3.投诉书应简要列明质疑事项，质疑函、质疑答复等作为附件材料提供。</w:t>
      </w:r>
    </w:p>
    <w:p w14:paraId="2C61E058">
      <w:pPr>
        <w:pStyle w:val="12"/>
        <w:spacing w:line="360" w:lineRule="auto"/>
        <w:ind w:left="25" w:leftChars="12" w:firstLine="354" w:firstLineChars="147"/>
        <w:rPr>
          <w:rFonts w:hAnsi="宋体"/>
          <w:b/>
          <w:color w:val="auto"/>
          <w:sz w:val="24"/>
          <w:szCs w:val="24"/>
          <w:highlight w:val="none"/>
        </w:rPr>
      </w:pPr>
      <w:r>
        <w:rPr>
          <w:rFonts w:hint="eastAsia" w:hAnsi="宋体"/>
          <w:b/>
          <w:color w:val="auto"/>
          <w:sz w:val="24"/>
          <w:szCs w:val="24"/>
          <w:highlight w:val="none"/>
        </w:rPr>
        <w:t>4.投诉书的投诉事项应具体、明确，并有必要的事实依据和法律依据。</w:t>
      </w:r>
    </w:p>
    <w:p w14:paraId="41E850DB">
      <w:pPr>
        <w:pStyle w:val="12"/>
        <w:spacing w:line="360" w:lineRule="auto"/>
        <w:ind w:left="25" w:leftChars="12" w:firstLine="354" w:firstLineChars="147"/>
        <w:rPr>
          <w:rFonts w:hAnsi="宋体"/>
          <w:b/>
          <w:color w:val="auto"/>
          <w:sz w:val="24"/>
          <w:szCs w:val="24"/>
          <w:highlight w:val="none"/>
        </w:rPr>
      </w:pPr>
      <w:r>
        <w:rPr>
          <w:rFonts w:hint="eastAsia" w:hAnsi="宋体"/>
          <w:b/>
          <w:color w:val="auto"/>
          <w:sz w:val="24"/>
          <w:szCs w:val="24"/>
          <w:highlight w:val="none"/>
        </w:rPr>
        <w:t>5.投诉书的投诉请求应与投诉事项相关。</w:t>
      </w:r>
    </w:p>
    <w:p w14:paraId="0872C6F1">
      <w:pPr>
        <w:pStyle w:val="12"/>
        <w:spacing w:line="360" w:lineRule="auto"/>
        <w:ind w:left="25" w:leftChars="12" w:firstLine="354" w:firstLineChars="147"/>
        <w:rPr>
          <w:rFonts w:hAnsi="宋体"/>
          <w:b/>
          <w:color w:val="auto"/>
          <w:highlight w:val="none"/>
        </w:rPr>
      </w:pPr>
      <w:r>
        <w:rPr>
          <w:rFonts w:hint="eastAsia" w:hAnsi="宋体"/>
          <w:b/>
          <w:color w:val="auto"/>
          <w:sz w:val="24"/>
          <w:szCs w:val="24"/>
          <w:highlight w:val="none"/>
        </w:rPr>
        <w:t>6.投诉人为法人或者其他组织的，投诉书应由法定代表人、主要负责人，或者其授权代表签字或者盖章，并加盖公章。</w:t>
      </w:r>
    </w:p>
    <w:p w14:paraId="3646B5D0">
      <w:pPr>
        <w:pStyle w:val="3"/>
        <w:spacing w:line="520" w:lineRule="exact"/>
        <w:jc w:val="center"/>
        <w:rPr>
          <w:color w:val="auto"/>
          <w:highlight w:val="none"/>
        </w:rPr>
      </w:pPr>
      <w:bookmarkStart w:id="189" w:name="_Toc24340"/>
      <w:r>
        <w:rPr>
          <w:rFonts w:hint="eastAsia"/>
          <w:color w:val="auto"/>
          <w:highlight w:val="none"/>
        </w:rPr>
        <w:t>第六章 合同文本</w:t>
      </w:r>
      <w:bookmarkEnd w:id="189"/>
    </w:p>
    <w:p w14:paraId="51B9B11F">
      <w:pPr>
        <w:spacing w:line="520" w:lineRule="exact"/>
        <w:rPr>
          <w:rFonts w:ascii="宋体" w:hAnsi="宋体" w:cs="Courier New"/>
          <w:b/>
          <w:color w:val="auto"/>
          <w:sz w:val="32"/>
          <w:szCs w:val="32"/>
          <w:highlight w:val="none"/>
        </w:rPr>
      </w:pPr>
    </w:p>
    <w:p w14:paraId="4D629B82">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u w:val="single"/>
        </w:rPr>
      </w:pPr>
      <w:r>
        <w:rPr>
          <w:rFonts w:hint="eastAsia" w:ascii="宋体" w:hAnsi="宋体" w:eastAsia="宋体" w:cs="宋体"/>
          <w:b/>
          <w:bCs/>
          <w:color w:val="auto"/>
          <w:sz w:val="28"/>
          <w:szCs w:val="28"/>
          <w:highlight w:val="none"/>
        </w:rPr>
        <w:t>合同名称：</w:t>
      </w:r>
      <w:r>
        <w:rPr>
          <w:rFonts w:hint="eastAsia" w:ascii="宋体" w:hAnsi="宋体" w:eastAsia="宋体" w:cs="宋体"/>
          <w:b/>
          <w:bCs/>
          <w:color w:val="auto"/>
          <w:sz w:val="28"/>
          <w:szCs w:val="28"/>
          <w:highlight w:val="none"/>
          <w:u w:val="single"/>
        </w:rPr>
        <w:t xml:space="preserve">                            </w:t>
      </w:r>
    </w:p>
    <w:p w14:paraId="0EE846DB">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u w:val="single"/>
        </w:rPr>
      </w:pPr>
      <w:r>
        <w:rPr>
          <w:rFonts w:hint="eastAsia" w:ascii="宋体" w:hAnsi="宋体" w:eastAsia="宋体" w:cs="宋体"/>
          <w:b/>
          <w:bCs/>
          <w:color w:val="auto"/>
          <w:sz w:val="28"/>
          <w:szCs w:val="28"/>
          <w:highlight w:val="none"/>
        </w:rPr>
        <w:t>合同编号：</w:t>
      </w:r>
      <w:r>
        <w:rPr>
          <w:rFonts w:hint="eastAsia" w:ascii="宋体" w:hAnsi="宋体" w:eastAsia="宋体" w:cs="宋体"/>
          <w:b/>
          <w:bCs/>
          <w:color w:val="auto"/>
          <w:sz w:val="28"/>
          <w:szCs w:val="28"/>
          <w:highlight w:val="none"/>
          <w:u w:val="single"/>
        </w:rPr>
        <w:t xml:space="preserve">                            </w:t>
      </w:r>
    </w:p>
    <w:p w14:paraId="3E55EACA">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rPr>
      </w:pPr>
    </w:p>
    <w:p w14:paraId="7198572D">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采购单位（甲方）</w:t>
      </w:r>
      <w:r>
        <w:rPr>
          <w:rFonts w:hint="eastAsia" w:ascii="宋体" w:hAnsi="宋体" w:eastAsia="宋体" w:cs="宋体"/>
          <w:b/>
          <w:bCs/>
          <w:color w:val="auto"/>
          <w:sz w:val="28"/>
          <w:szCs w:val="28"/>
          <w:highlight w:val="none"/>
          <w:u w:val="single"/>
        </w:rPr>
        <w:t xml:space="preserve">                      </w:t>
      </w:r>
    </w:p>
    <w:p w14:paraId="107035D6">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供 应 商（乙方）</w:t>
      </w:r>
      <w:r>
        <w:rPr>
          <w:rFonts w:hint="eastAsia" w:ascii="宋体" w:hAnsi="宋体" w:eastAsia="宋体" w:cs="宋体"/>
          <w:b/>
          <w:bCs/>
          <w:color w:val="auto"/>
          <w:sz w:val="28"/>
          <w:szCs w:val="28"/>
          <w:highlight w:val="none"/>
          <w:u w:val="single"/>
        </w:rPr>
        <w:t xml:space="preserve">                      </w:t>
      </w:r>
    </w:p>
    <w:p w14:paraId="3C3B61F9">
      <w:pPr>
        <w:pStyle w:val="12"/>
        <w:pageBreakBefore w:val="0"/>
        <w:kinsoku/>
        <w:overflowPunct/>
        <w:topLinePunct w:val="0"/>
        <w:bidi w:val="0"/>
        <w:spacing w:line="600" w:lineRule="auto"/>
        <w:ind w:firstLine="1987" w:firstLineChars="707"/>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 xml:space="preserve"> </w:t>
      </w:r>
    </w:p>
    <w:p w14:paraId="7FF4C1FE">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u w:val="single"/>
        </w:rPr>
      </w:pPr>
      <w:r>
        <w:rPr>
          <w:rFonts w:hint="eastAsia" w:ascii="宋体" w:hAnsi="宋体" w:eastAsia="宋体" w:cs="宋体"/>
          <w:b/>
          <w:bCs/>
          <w:color w:val="auto"/>
          <w:sz w:val="28"/>
          <w:szCs w:val="28"/>
          <w:highlight w:val="none"/>
        </w:rPr>
        <w:t>签订合同地点：</w:t>
      </w:r>
      <w:r>
        <w:rPr>
          <w:rFonts w:hint="eastAsia" w:ascii="宋体" w:hAnsi="宋体" w:eastAsia="宋体" w:cs="宋体"/>
          <w:b/>
          <w:bCs/>
          <w:color w:val="auto"/>
          <w:sz w:val="28"/>
          <w:szCs w:val="28"/>
          <w:highlight w:val="none"/>
          <w:u w:val="single"/>
        </w:rPr>
        <w:t xml:space="preserve">                       </w:t>
      </w:r>
    </w:p>
    <w:p w14:paraId="60C27436">
      <w:pPr>
        <w:pStyle w:val="12"/>
        <w:pageBreakBefore w:val="0"/>
        <w:kinsoku/>
        <w:overflowPunct/>
        <w:topLinePunct w:val="0"/>
        <w:bidi w:val="0"/>
        <w:spacing w:line="600" w:lineRule="auto"/>
        <w:ind w:firstLine="1987" w:firstLineChars="707"/>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签订合同时间：</w:t>
      </w:r>
      <w:r>
        <w:rPr>
          <w:rFonts w:hint="eastAsia" w:ascii="宋体" w:hAnsi="宋体" w:eastAsia="宋体" w:cs="宋体"/>
          <w:b/>
          <w:bCs/>
          <w:color w:val="auto"/>
          <w:sz w:val="28"/>
          <w:szCs w:val="28"/>
          <w:highlight w:val="none"/>
          <w:u w:val="single"/>
        </w:rPr>
        <w:t xml:space="preserve">                       </w:t>
      </w:r>
    </w:p>
    <w:p w14:paraId="178C7878">
      <w:pPr>
        <w:jc w:val="center"/>
        <w:rPr>
          <w:rFonts w:hint="eastAsia" w:ascii="宋体" w:hAnsi="宋体" w:eastAsia="宋体" w:cs="Courier New"/>
          <w:color w:val="auto"/>
          <w:szCs w:val="21"/>
          <w:highlight w:val="none"/>
        </w:rPr>
      </w:pPr>
    </w:p>
    <w:p w14:paraId="71B86078">
      <w:pPr>
        <w:jc w:val="center"/>
        <w:rPr>
          <w:rFonts w:hint="eastAsia" w:ascii="宋体" w:hAnsi="宋体" w:eastAsia="宋体" w:cs="Courier New"/>
          <w:color w:val="auto"/>
          <w:szCs w:val="21"/>
          <w:highlight w:val="none"/>
        </w:rPr>
      </w:pPr>
      <w:r>
        <w:rPr>
          <w:rFonts w:hint="eastAsia" w:ascii="宋体" w:hAnsi="宋体" w:eastAsia="宋体" w:cs="Courier New"/>
          <w:color w:val="auto"/>
          <w:szCs w:val="21"/>
          <w:highlight w:val="none"/>
        </w:rPr>
        <w:t xml:space="preserve">  </w:t>
      </w:r>
    </w:p>
    <w:p w14:paraId="4959D2BB">
      <w:pPr>
        <w:jc w:val="center"/>
        <w:rPr>
          <w:rFonts w:hint="eastAsia" w:ascii="宋体" w:hAnsi="宋体" w:eastAsia="宋体" w:cs="Courier New"/>
          <w:color w:val="auto"/>
          <w:szCs w:val="21"/>
          <w:highlight w:val="none"/>
        </w:rPr>
      </w:pPr>
    </w:p>
    <w:p w14:paraId="15F62295">
      <w:pPr>
        <w:jc w:val="center"/>
        <w:rPr>
          <w:rFonts w:hint="eastAsia" w:ascii="宋体" w:hAnsi="宋体" w:eastAsia="宋体" w:cs="Courier New"/>
          <w:color w:val="auto"/>
          <w:szCs w:val="21"/>
          <w:highlight w:val="none"/>
        </w:rPr>
      </w:pPr>
    </w:p>
    <w:p w14:paraId="1E996F05">
      <w:pPr>
        <w:jc w:val="center"/>
        <w:rPr>
          <w:rFonts w:hint="eastAsia" w:ascii="宋体" w:hAnsi="宋体" w:eastAsia="宋体" w:cs="Courier New"/>
          <w:color w:val="auto"/>
          <w:szCs w:val="21"/>
          <w:highlight w:val="none"/>
        </w:rPr>
      </w:pPr>
    </w:p>
    <w:p w14:paraId="7F44D1D4">
      <w:pPr>
        <w:jc w:val="center"/>
        <w:rPr>
          <w:rFonts w:hint="eastAsia" w:ascii="宋体" w:hAnsi="宋体" w:eastAsia="宋体" w:cs="Courier New"/>
          <w:color w:val="auto"/>
          <w:szCs w:val="21"/>
          <w:highlight w:val="none"/>
        </w:rPr>
      </w:pPr>
    </w:p>
    <w:p w14:paraId="440676D9">
      <w:pPr>
        <w:pageBreakBefore w:val="0"/>
        <w:kinsoku/>
        <w:overflowPunct/>
        <w:topLinePunct w:val="0"/>
        <w:bidi w:val="0"/>
        <w:snapToGrid w:val="0"/>
        <w:spacing w:line="360" w:lineRule="auto"/>
        <w:rPr>
          <w:rFonts w:ascii="宋体" w:hAnsi="宋体" w:eastAsia="宋体" w:cs="Courier New"/>
          <w:color w:val="auto"/>
          <w:szCs w:val="21"/>
          <w:highlight w:val="none"/>
        </w:rPr>
      </w:pPr>
      <w:r>
        <w:rPr>
          <w:rFonts w:ascii="宋体" w:hAnsi="宋体" w:eastAsia="宋体" w:cs="Courier New"/>
          <w:color w:val="auto"/>
          <w:szCs w:val="21"/>
          <w:highlight w:val="none"/>
        </w:rPr>
        <w:br w:type="page"/>
      </w:r>
    </w:p>
    <w:p w14:paraId="089BF33F">
      <w:pPr>
        <w:pageBreakBefore w:val="0"/>
        <w:kinsoku/>
        <w:overflowPunct/>
        <w:topLinePunct w:val="0"/>
        <w:bidi w:val="0"/>
        <w:snapToGrid w:val="0"/>
        <w:spacing w:line="360" w:lineRule="auto"/>
        <w:jc w:val="center"/>
        <w:rPr>
          <w:rFonts w:hint="default" w:ascii="宋体" w:hAnsi="宋体" w:eastAsia="宋体" w:cs="Courier New"/>
          <w:b/>
          <w:bCs/>
          <w:color w:val="auto"/>
          <w:sz w:val="28"/>
          <w:szCs w:val="28"/>
          <w:highlight w:val="none"/>
          <w:lang w:val="en-US" w:eastAsia="zh-CN"/>
        </w:rPr>
      </w:pPr>
      <w:r>
        <w:rPr>
          <w:rFonts w:hint="eastAsia" w:ascii="宋体" w:hAnsi="宋体" w:cs="Courier New"/>
          <w:b/>
          <w:bCs/>
          <w:color w:val="auto"/>
          <w:sz w:val="28"/>
          <w:szCs w:val="28"/>
          <w:highlight w:val="none"/>
          <w:lang w:val="en-US" w:eastAsia="zh-CN"/>
        </w:rPr>
        <w:t>采购合同文本</w:t>
      </w:r>
    </w:p>
    <w:p w14:paraId="00E79615">
      <w:pPr>
        <w:pageBreakBefore w:val="0"/>
        <w:kinsoku/>
        <w:overflowPunct/>
        <w:topLinePunct w:val="0"/>
        <w:bidi w:val="0"/>
        <w:snapToGrid w:val="0"/>
        <w:spacing w:line="360" w:lineRule="auto"/>
        <w:rPr>
          <w:rFonts w:ascii="宋体" w:hAnsi="宋体" w:eastAsia="宋体" w:cs="Courier New"/>
          <w:color w:val="auto"/>
          <w:szCs w:val="21"/>
          <w:highlight w:val="none"/>
        </w:rPr>
      </w:pPr>
    </w:p>
    <w:p w14:paraId="129A275D">
      <w:pPr>
        <w:pageBreakBefore w:val="0"/>
        <w:kinsoku/>
        <w:overflowPunct/>
        <w:topLinePunct w:val="0"/>
        <w:bidi w:val="0"/>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采购人（甲方）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pacing w:val="-20"/>
          <w:sz w:val="21"/>
          <w:szCs w:val="21"/>
          <w:highlight w:val="none"/>
          <w:lang w:val="en-US" w:eastAsia="zh-CN"/>
        </w:rPr>
        <w:t>合同编</w:t>
      </w:r>
      <w:r>
        <w:rPr>
          <w:rFonts w:hint="eastAsia" w:ascii="宋体" w:hAnsi="宋体" w:eastAsia="宋体" w:cs="宋体"/>
          <w:color w:val="auto"/>
          <w:spacing w:val="-20"/>
          <w:sz w:val="21"/>
          <w:szCs w:val="21"/>
          <w:highlight w:val="none"/>
        </w:rPr>
        <w:t>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14:paraId="42FC7E49">
      <w:pPr>
        <w:pageBreakBefore w:val="0"/>
        <w:kinsoku/>
        <w:overflowPunct/>
        <w:topLinePunct w:val="0"/>
        <w:bidi w:val="0"/>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供 应 商（乙方）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项目名称和</w:t>
      </w:r>
      <w:r>
        <w:rPr>
          <w:rFonts w:hint="eastAsia" w:ascii="宋体" w:hAnsi="宋体" w:eastAsia="宋体" w:cs="宋体"/>
          <w:color w:val="auto"/>
          <w:spacing w:val="-20"/>
          <w:sz w:val="21"/>
          <w:szCs w:val="21"/>
          <w:highlight w:val="none"/>
        </w:rPr>
        <w:t>项目编号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14:paraId="34E812A7">
      <w:pPr>
        <w:pageBreakBefore w:val="0"/>
        <w:kinsoku/>
        <w:overflowPunct/>
        <w:topLinePunct w:val="0"/>
        <w:bidi w:val="0"/>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 xml:space="preserve">签  订  地  点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签 订 时 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14:paraId="6CD60E41">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根据《中华人民共和国政府采购法》、《中华人民共和国</w:t>
      </w:r>
      <w:r>
        <w:rPr>
          <w:rFonts w:hint="eastAsia" w:ascii="宋体" w:hAnsi="宋体" w:eastAsia="宋体" w:cs="宋体"/>
          <w:color w:val="auto"/>
          <w:sz w:val="21"/>
          <w:szCs w:val="21"/>
          <w:highlight w:val="none"/>
          <w:lang w:eastAsia="zh-CN"/>
        </w:rPr>
        <w:t>民法典</w:t>
      </w:r>
      <w:r>
        <w:rPr>
          <w:rFonts w:hint="eastAsia" w:ascii="宋体" w:hAnsi="宋体" w:eastAsia="宋体" w:cs="宋体"/>
          <w:color w:val="auto"/>
          <w:sz w:val="21"/>
          <w:szCs w:val="21"/>
          <w:highlight w:val="none"/>
        </w:rPr>
        <w:t>》等法律、法规规定，按照采购文件规定条款和乙方投标文件及其承诺，甲乙双方签订本合同。</w:t>
      </w:r>
    </w:p>
    <w:p w14:paraId="7DF7AA1B">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第一条　合同标的</w:t>
      </w:r>
    </w:p>
    <w:p w14:paraId="262DA58B">
      <w:pPr>
        <w:pageBreakBefore w:val="0"/>
        <w:numPr>
          <w:ilvl w:val="0"/>
          <w:numId w:val="9"/>
        </w:numPr>
        <w:kinsoku/>
        <w:overflowPunct/>
        <w:topLinePunct w:val="0"/>
        <w:bidi w:val="0"/>
        <w:snapToGrid w:val="0"/>
        <w:spacing w:before="120" w:after="120" w:line="360" w:lineRule="auto"/>
        <w:outlineLvl w:val="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基本情况</w:t>
      </w:r>
    </w:p>
    <w:p w14:paraId="2C84D5BF">
      <w:pPr>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中泰崇左产业园棚户区改造项目A区、B区、C区等</w:t>
      </w:r>
      <w:r>
        <w:rPr>
          <w:rFonts w:hint="eastAsia" w:ascii="宋体" w:hAnsi="宋体" w:eastAsia="宋体" w:cs="宋体"/>
          <w:b w:val="0"/>
          <w:bCs w:val="0"/>
          <w:color w:val="auto"/>
          <w:sz w:val="21"/>
          <w:szCs w:val="21"/>
          <w:highlight w:val="none"/>
        </w:rPr>
        <w:t>物业管理</w:t>
      </w:r>
      <w:r>
        <w:rPr>
          <w:rFonts w:hint="eastAsia" w:ascii="宋体" w:hAnsi="宋体" w:eastAsia="宋体" w:cs="宋体"/>
          <w:color w:val="auto"/>
          <w:kern w:val="0"/>
          <w:sz w:val="21"/>
          <w:szCs w:val="21"/>
          <w:highlight w:val="none"/>
          <w:lang w:eastAsia="zh-CN"/>
        </w:rPr>
        <w:t>服务采购：中泰崇左产业园棚户区改造项目</w:t>
      </w:r>
      <w:r>
        <w:rPr>
          <w:rFonts w:hint="eastAsia" w:ascii="宋体" w:hAnsi="宋体" w:eastAsia="宋体" w:cs="宋体"/>
          <w:color w:val="auto"/>
          <w:kern w:val="0"/>
          <w:sz w:val="21"/>
          <w:szCs w:val="21"/>
          <w:highlight w:val="none"/>
          <w:lang w:val="en-US" w:eastAsia="zh-CN"/>
        </w:rPr>
        <w:t>ABC区总建筑面积641231.77</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;现住户</w:t>
      </w:r>
      <w:r>
        <w:rPr>
          <w:rFonts w:hint="eastAsia" w:ascii="宋体" w:hAnsi="宋体" w:eastAsia="宋体" w:cs="宋体"/>
          <w:color w:val="auto"/>
          <w:kern w:val="0"/>
          <w:sz w:val="21"/>
          <w:szCs w:val="21"/>
          <w:highlight w:val="none"/>
          <w:lang w:eastAsia="zh-CN"/>
        </w:rPr>
        <w:t>总建筑面积</w:t>
      </w:r>
      <w:r>
        <w:rPr>
          <w:rFonts w:hint="eastAsia" w:ascii="宋体" w:hAnsi="宋体" w:eastAsia="宋体" w:cs="宋体"/>
          <w:color w:val="auto"/>
          <w:kern w:val="0"/>
          <w:sz w:val="21"/>
          <w:szCs w:val="21"/>
          <w:highlight w:val="none"/>
          <w:lang w:val="en-US" w:eastAsia="zh-CN"/>
        </w:rPr>
        <w:t>70418.71</w:t>
      </w:r>
      <w:r>
        <w:rPr>
          <w:rFonts w:hint="eastAsia" w:ascii="宋体" w:hAnsi="宋体" w:eastAsia="宋体" w:cs="宋体"/>
          <w:color w:val="auto"/>
          <w:kern w:val="0"/>
          <w:sz w:val="21"/>
          <w:szCs w:val="21"/>
          <w:highlight w:val="none"/>
          <w:lang w:eastAsia="zh-CN"/>
        </w:rPr>
        <w:t>㎡。各小区车库及车位按</w:t>
      </w:r>
      <w:r>
        <w:rPr>
          <w:rFonts w:hint="eastAsia" w:ascii="宋体" w:hAnsi="宋体" w:eastAsia="宋体" w:cs="宋体"/>
          <w:color w:val="auto"/>
          <w:kern w:val="0"/>
          <w:sz w:val="21"/>
          <w:szCs w:val="21"/>
          <w:highlight w:val="none"/>
          <w:lang w:val="en-US" w:eastAsia="zh-CN"/>
        </w:rPr>
        <w:t>50元/月/辆</w:t>
      </w:r>
      <w:r>
        <w:rPr>
          <w:rFonts w:hint="eastAsia" w:ascii="宋体" w:hAnsi="宋体" w:eastAsia="宋体" w:cs="宋体"/>
          <w:color w:val="auto"/>
          <w:kern w:val="0"/>
          <w:sz w:val="21"/>
          <w:szCs w:val="21"/>
          <w:highlight w:val="none"/>
          <w:lang w:eastAsia="zh-CN"/>
        </w:rPr>
        <w:t>收费。</w:t>
      </w:r>
    </w:p>
    <w:p w14:paraId="4FD77F9F">
      <w:pPr>
        <w:pageBreakBefore w:val="0"/>
        <w:numPr>
          <w:ilvl w:val="0"/>
          <w:numId w:val="9"/>
        </w:numPr>
        <w:kinsoku/>
        <w:overflowPunct/>
        <w:topLinePunct w:val="0"/>
        <w:bidi w:val="0"/>
        <w:snapToGrid w:val="0"/>
        <w:spacing w:before="120" w:after="120" w:line="360" w:lineRule="auto"/>
        <w:outlineLvl w:val="0"/>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服务一览表</w:t>
      </w:r>
    </w:p>
    <w:tbl>
      <w:tblPr>
        <w:tblStyle w:val="21"/>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303"/>
        <w:gridCol w:w="1031"/>
        <w:gridCol w:w="3469"/>
        <w:gridCol w:w="2880"/>
      </w:tblGrid>
      <w:tr w14:paraId="5D4C9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857" w:type="dxa"/>
            <w:vAlign w:val="center"/>
          </w:tcPr>
          <w:p w14:paraId="34110BAC">
            <w:pPr>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03" w:type="dxa"/>
            <w:vAlign w:val="center"/>
          </w:tcPr>
          <w:p w14:paraId="08C8EA9D">
            <w:pPr>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服务内容</w:t>
            </w:r>
          </w:p>
        </w:tc>
        <w:tc>
          <w:tcPr>
            <w:tcW w:w="1031" w:type="dxa"/>
            <w:vAlign w:val="center"/>
          </w:tcPr>
          <w:p w14:paraId="7E481900">
            <w:pPr>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  量</w:t>
            </w:r>
          </w:p>
        </w:tc>
        <w:tc>
          <w:tcPr>
            <w:tcW w:w="3469" w:type="dxa"/>
            <w:vAlign w:val="center"/>
          </w:tcPr>
          <w:p w14:paraId="50A524F2">
            <w:pPr>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w:t>
            </w:r>
          </w:p>
        </w:tc>
        <w:tc>
          <w:tcPr>
            <w:tcW w:w="2880" w:type="dxa"/>
            <w:vAlign w:val="center"/>
          </w:tcPr>
          <w:p w14:paraId="616D0999">
            <w:pPr>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  额（元）</w:t>
            </w:r>
          </w:p>
        </w:tc>
      </w:tr>
      <w:tr w14:paraId="5A49D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540" w:type="dxa"/>
            <w:gridSpan w:val="5"/>
            <w:vAlign w:val="center"/>
          </w:tcPr>
          <w:p w14:paraId="736EFB1E">
            <w:pPr>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详细内容见报价表附件</w:t>
            </w:r>
          </w:p>
        </w:tc>
      </w:tr>
      <w:tr w14:paraId="4C02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540" w:type="dxa"/>
            <w:gridSpan w:val="5"/>
            <w:vAlign w:val="center"/>
          </w:tcPr>
          <w:p w14:paraId="03F64409">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人民币合计金额（大写）：                         小写金额：</w:t>
            </w:r>
          </w:p>
        </w:tc>
      </w:tr>
    </w:tbl>
    <w:p w14:paraId="54182F4C">
      <w:pPr>
        <w:pageBreakBefore w:val="0"/>
        <w:kinsoku/>
        <w:overflowPunct/>
        <w:topLinePunct w:val="0"/>
        <w:bidi w:val="0"/>
        <w:snapToGrid w:val="0"/>
        <w:spacing w:line="360" w:lineRule="auto"/>
        <w:ind w:right="420"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3、合同合计金额</w:t>
      </w:r>
      <w:r>
        <w:rPr>
          <w:rFonts w:hint="eastAsia" w:ascii="宋体" w:hAnsi="宋体" w:eastAsia="宋体" w:cs="宋体"/>
          <w:color w:val="auto"/>
          <w:sz w:val="21"/>
          <w:szCs w:val="21"/>
          <w:highlight w:val="none"/>
        </w:rPr>
        <w:t>包括</w:t>
      </w:r>
      <w:r>
        <w:rPr>
          <w:rFonts w:hint="eastAsia" w:ascii="宋体" w:hAnsi="宋体" w:eastAsia="宋体" w:cs="宋体"/>
          <w:bCs/>
          <w:color w:val="auto"/>
          <w:sz w:val="21"/>
          <w:szCs w:val="21"/>
          <w:highlight w:val="none"/>
        </w:rPr>
        <w:t>服务费、设备费、管理费、验收费、利润、税金及其它所有成本、费用的总和</w:t>
      </w:r>
      <w:r>
        <w:rPr>
          <w:rFonts w:hint="eastAsia" w:ascii="宋体" w:hAnsi="宋体" w:eastAsia="宋体" w:cs="宋体"/>
          <w:color w:val="auto"/>
          <w:sz w:val="21"/>
          <w:szCs w:val="21"/>
          <w:highlight w:val="none"/>
        </w:rPr>
        <w:t>。如</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、投标文件对其另有规定的，从其规定。</w:t>
      </w:r>
    </w:p>
    <w:p w14:paraId="7CDA8FFF">
      <w:pPr>
        <w:pageBreakBefore w:val="0"/>
        <w:kinsoku/>
        <w:overflowPunct/>
        <w:topLinePunct w:val="0"/>
        <w:bidi w:val="0"/>
        <w:adjustRightInd w:val="0"/>
        <w:spacing w:line="360" w:lineRule="auto"/>
        <w:ind w:firstLine="413" w:firstLineChars="196"/>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4、合同金额其他约定：</w:t>
      </w:r>
    </w:p>
    <w:p w14:paraId="585CF9DC">
      <w:pPr>
        <w:pStyle w:val="20"/>
        <w:pageBreakBefore w:val="0"/>
        <w:kinsoku/>
        <w:overflowPunct/>
        <w:topLinePunct w:val="0"/>
        <w:bidi w:val="0"/>
        <w:spacing w:line="360" w:lineRule="auto"/>
        <w:ind w:left="0" w:leftChars="0" w:firstLine="422"/>
        <w:rPr>
          <w:rFonts w:hint="eastAsia" w:ascii="宋体" w:hAnsi="宋体" w:eastAsia="宋体" w:cs="宋体"/>
          <w:b w:val="0"/>
          <w:bCs/>
          <w:color w:val="auto"/>
          <w:sz w:val="21"/>
          <w:szCs w:val="21"/>
          <w:highlight w:val="none"/>
          <w:u w:val="single"/>
          <w:lang w:eastAsia="zh-CN"/>
        </w:rPr>
      </w:pPr>
      <w:r>
        <w:rPr>
          <w:rFonts w:hint="eastAsia" w:ascii="宋体" w:hAnsi="宋体" w:eastAsia="宋体" w:cs="宋体"/>
          <w:b w:val="0"/>
          <w:bCs/>
          <w:color w:val="auto"/>
          <w:sz w:val="21"/>
          <w:szCs w:val="21"/>
          <w:highlight w:val="none"/>
          <w:u w:val="single"/>
          <w:lang w:eastAsia="zh-CN"/>
        </w:rPr>
        <w:t>乙方</w:t>
      </w:r>
      <w:r>
        <w:rPr>
          <w:rFonts w:hint="eastAsia" w:ascii="宋体" w:hAnsi="宋体" w:eastAsia="宋体" w:cs="宋体"/>
          <w:b w:val="0"/>
          <w:bCs/>
          <w:color w:val="auto"/>
          <w:sz w:val="21"/>
          <w:szCs w:val="21"/>
          <w:highlight w:val="none"/>
          <w:u w:val="single"/>
        </w:rPr>
        <w:t>自行承担向租户催缴应收物业费之责任，</w:t>
      </w:r>
      <w:r>
        <w:rPr>
          <w:rFonts w:hint="eastAsia" w:ascii="宋体" w:hAnsi="宋体" w:cs="宋体"/>
          <w:b w:val="0"/>
          <w:bCs/>
          <w:color w:val="auto"/>
          <w:sz w:val="21"/>
          <w:szCs w:val="21"/>
          <w:highlight w:val="none"/>
          <w:u w:val="single"/>
          <w:lang w:eastAsia="zh-CN"/>
        </w:rPr>
        <w:t>年度结算时</w:t>
      </w:r>
      <w:r>
        <w:rPr>
          <w:rFonts w:hint="eastAsia" w:ascii="宋体" w:hAnsi="宋体" w:eastAsia="宋体" w:cs="宋体"/>
          <w:b w:val="0"/>
          <w:bCs/>
          <w:color w:val="auto"/>
          <w:sz w:val="21"/>
          <w:szCs w:val="21"/>
          <w:highlight w:val="none"/>
          <w:u w:val="single"/>
        </w:rPr>
        <w:t>扣除乙方应收物业费后，由</w:t>
      </w:r>
      <w:r>
        <w:rPr>
          <w:rFonts w:hint="eastAsia" w:ascii="宋体" w:hAnsi="宋体" w:eastAsia="宋体" w:cs="宋体"/>
          <w:b w:val="0"/>
          <w:bCs/>
          <w:color w:val="auto"/>
          <w:sz w:val="21"/>
          <w:szCs w:val="21"/>
          <w:highlight w:val="none"/>
          <w:u w:val="single"/>
          <w:lang w:eastAsia="zh-CN"/>
        </w:rPr>
        <w:t>甲方</w:t>
      </w:r>
      <w:r>
        <w:rPr>
          <w:rFonts w:hint="eastAsia" w:ascii="宋体" w:hAnsi="宋体" w:eastAsia="宋体" w:cs="宋体"/>
          <w:b w:val="0"/>
          <w:bCs/>
          <w:color w:val="auto"/>
          <w:sz w:val="21"/>
          <w:szCs w:val="21"/>
          <w:highlight w:val="none"/>
          <w:u w:val="single"/>
        </w:rPr>
        <w:t>补足与</w:t>
      </w:r>
      <w:r>
        <w:rPr>
          <w:rFonts w:hint="eastAsia" w:ascii="宋体" w:hAnsi="宋体" w:eastAsia="宋体" w:cs="宋体"/>
          <w:b w:val="0"/>
          <w:bCs/>
          <w:color w:val="auto"/>
          <w:sz w:val="21"/>
          <w:szCs w:val="21"/>
          <w:highlight w:val="none"/>
          <w:u w:val="single"/>
          <w:lang w:eastAsia="zh-CN"/>
        </w:rPr>
        <w:t>合同</w:t>
      </w:r>
      <w:r>
        <w:rPr>
          <w:rFonts w:hint="eastAsia" w:ascii="宋体" w:hAnsi="宋体" w:eastAsia="宋体" w:cs="宋体"/>
          <w:b w:val="0"/>
          <w:bCs/>
          <w:color w:val="auto"/>
          <w:sz w:val="21"/>
          <w:szCs w:val="21"/>
          <w:highlight w:val="none"/>
          <w:u w:val="single"/>
        </w:rPr>
        <w:t>价差额部分费用。</w:t>
      </w:r>
    </w:p>
    <w:p w14:paraId="758EADDC">
      <w:pPr>
        <w:pStyle w:val="20"/>
        <w:pageBreakBefore w:val="0"/>
        <w:kinsoku/>
        <w:overflowPunct/>
        <w:topLinePunct w:val="0"/>
        <w:bidi w:val="0"/>
        <w:spacing w:line="360" w:lineRule="auto"/>
        <w:ind w:left="0" w:leftChars="0" w:firstLine="422"/>
        <w:rPr>
          <w:rFonts w:hint="eastAsia" w:ascii="宋体" w:hAnsi="宋体" w:eastAsia="宋体" w:cs="宋体"/>
          <w:b w:val="0"/>
          <w:bCs/>
          <w:color w:val="auto"/>
          <w:sz w:val="21"/>
          <w:szCs w:val="21"/>
          <w:highlight w:val="none"/>
          <w:u w:val="single"/>
          <w:lang w:eastAsia="zh-CN"/>
        </w:rPr>
      </w:pPr>
      <w:r>
        <w:rPr>
          <w:rFonts w:hint="eastAsia" w:ascii="宋体" w:hAnsi="宋体" w:eastAsia="宋体" w:cs="宋体"/>
          <w:b/>
          <w:color w:val="auto"/>
          <w:sz w:val="21"/>
          <w:szCs w:val="21"/>
          <w:highlight w:val="none"/>
          <w:lang w:eastAsia="zh-CN"/>
        </w:rPr>
        <w:t>5、</w:t>
      </w:r>
      <w:r>
        <w:rPr>
          <w:rFonts w:hint="eastAsia" w:ascii="宋体" w:hAnsi="宋体" w:eastAsia="宋体" w:cs="宋体"/>
          <w:b/>
          <w:color w:val="auto"/>
          <w:sz w:val="21"/>
          <w:szCs w:val="21"/>
          <w:highlight w:val="none"/>
        </w:rPr>
        <w:t>合同履行期限：</w:t>
      </w:r>
      <w:r>
        <w:rPr>
          <w:rFonts w:hint="eastAsia" w:ascii="宋体" w:hAnsi="宋体" w:eastAsia="宋体" w:cs="宋体"/>
          <w:b w:val="0"/>
          <w:bCs/>
          <w:color w:val="auto"/>
          <w:sz w:val="21"/>
          <w:szCs w:val="21"/>
          <w:highlight w:val="none"/>
          <w:lang w:eastAsia="zh-CN"/>
        </w:rPr>
        <w:t>服务时限</w:t>
      </w:r>
      <w:r>
        <w:rPr>
          <w:rFonts w:hint="eastAsia" w:ascii="宋体" w:hAnsi="宋体" w:eastAsia="宋体" w:cs="宋体"/>
          <w:b w:val="0"/>
          <w:bCs/>
          <w:color w:val="auto"/>
          <w:sz w:val="21"/>
          <w:szCs w:val="21"/>
          <w:highlight w:val="none"/>
          <w:lang w:val="en-US" w:eastAsia="zh-CN"/>
        </w:rPr>
        <w:t>1</w:t>
      </w:r>
      <w:r>
        <w:rPr>
          <w:rFonts w:hint="eastAsia" w:ascii="宋体" w:hAnsi="宋体" w:eastAsia="宋体" w:cs="宋体"/>
          <w:b w:val="0"/>
          <w:bCs/>
          <w:color w:val="auto"/>
          <w:sz w:val="21"/>
          <w:szCs w:val="21"/>
          <w:highlight w:val="none"/>
          <w:lang w:eastAsia="zh-CN"/>
        </w:rPr>
        <w:t>年</w:t>
      </w:r>
      <w:r>
        <w:rPr>
          <w:rFonts w:hint="eastAsia" w:ascii="宋体" w:hAnsi="宋体" w:eastAsia="宋体" w:cs="宋体"/>
          <w:b w:val="0"/>
          <w:bCs/>
          <w:color w:val="auto"/>
          <w:sz w:val="21"/>
          <w:szCs w:val="21"/>
          <w:highlight w:val="none"/>
        </w:rPr>
        <w:t>。</w:t>
      </w:r>
      <w:r>
        <w:rPr>
          <w:rFonts w:hint="eastAsia" w:ascii="宋体" w:hAnsi="宋体" w:eastAsia="宋体" w:cs="宋体"/>
          <w:b w:val="0"/>
          <w:bCs/>
          <w:color w:val="auto"/>
          <w:sz w:val="21"/>
          <w:szCs w:val="21"/>
          <w:highlight w:val="none"/>
          <w:u w:val="single"/>
        </w:rPr>
        <w:t>自</w:t>
      </w:r>
      <w:r>
        <w:rPr>
          <w:rFonts w:hint="eastAsia" w:ascii="宋体" w:hAnsi="宋体" w:eastAsia="宋体" w:cs="宋体"/>
          <w:b w:val="0"/>
          <w:bCs/>
          <w:color w:val="auto"/>
          <w:sz w:val="21"/>
          <w:szCs w:val="21"/>
          <w:highlight w:val="none"/>
          <w:u w:val="single"/>
          <w:lang w:eastAsia="zh-CN"/>
        </w:rPr>
        <w:t>2025年  月  日至202</w:t>
      </w:r>
      <w:r>
        <w:rPr>
          <w:rFonts w:hint="eastAsia" w:ascii="宋体" w:hAnsi="宋体" w:eastAsia="宋体" w:cs="宋体"/>
          <w:b w:val="0"/>
          <w:bCs/>
          <w:color w:val="auto"/>
          <w:sz w:val="21"/>
          <w:szCs w:val="21"/>
          <w:highlight w:val="none"/>
          <w:u w:val="single"/>
          <w:lang w:val="en-US" w:eastAsia="zh-CN"/>
        </w:rPr>
        <w:t>6</w:t>
      </w:r>
      <w:r>
        <w:rPr>
          <w:rFonts w:hint="eastAsia" w:ascii="宋体" w:hAnsi="宋体" w:eastAsia="宋体" w:cs="宋体"/>
          <w:b w:val="0"/>
          <w:bCs/>
          <w:color w:val="auto"/>
          <w:sz w:val="21"/>
          <w:szCs w:val="21"/>
          <w:highlight w:val="none"/>
          <w:u w:val="single"/>
          <w:lang w:eastAsia="zh-CN"/>
        </w:rPr>
        <w:t>年  月  日。</w:t>
      </w:r>
    </w:p>
    <w:p w14:paraId="557C27A8">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第二条　物业管理服务考核标准。</w:t>
      </w:r>
    </w:p>
    <w:p w14:paraId="2FD0AB17">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（一）综合服务</w:t>
      </w:r>
    </w:p>
    <w:p w14:paraId="299B12C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接待服务</w:t>
      </w:r>
    </w:p>
    <w:p w14:paraId="01D6E6B8">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（1）设置接待服务中心，提供接待来访服务。</w:t>
      </w:r>
    </w:p>
    <w:p w14:paraId="0D0431D2">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（2）接待投诉，有效投诉处理率达100%。</w:t>
      </w:r>
    </w:p>
    <w:p w14:paraId="32187F75">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（3）受理并统计急修、中、小修预约及维修服务。</w:t>
      </w:r>
    </w:p>
    <w:p w14:paraId="031A05B9">
      <w:pPr>
        <w:pageBreakBefore w:val="0"/>
        <w:kinsoku/>
        <w:wordWrap/>
        <w:overflowPunct/>
        <w:topLinePunct w:val="0"/>
        <w:bidi w:val="0"/>
        <w:spacing w:line="400" w:lineRule="exact"/>
        <w:ind w:firstLine="315" w:firstLineChars="1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（4）服务回访率90%以上，不足改进率100%。</w:t>
      </w:r>
    </w:p>
    <w:p w14:paraId="5454B48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2、档案资料管理：建立完善高效的管理体系，资料、信息完整、保密，方便查找。</w:t>
      </w:r>
    </w:p>
    <w:p w14:paraId="706B3AB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3、宣传服务：协助业主布置宣传栏、横幅、标语、彩旗、花卉等。</w:t>
      </w:r>
    </w:p>
    <w:p w14:paraId="5070072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4、负责安排业主交办的与物业管理有关的事项，并检查督促该事项的落实。</w:t>
      </w:r>
    </w:p>
    <w:p w14:paraId="31AE51A7">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（二）安全管理</w:t>
      </w:r>
    </w:p>
    <w:p w14:paraId="0D2199C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1．在物业管理区域设置警戒线和警示标志。</w:t>
      </w:r>
    </w:p>
    <w:p w14:paraId="3723A9EB">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2．在出入口设置24小时安全员值勤，对进出的人员、物品进行检查，大件物品的运出凭业主证明放行，未经业主许可，严禁废旧收购、家电修理、推销等无关人员进入物业管理区域。</w:t>
      </w:r>
    </w:p>
    <w:p w14:paraId="5F9CFEF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3．对物业管理区域进行安全巡查，每日巡查不少于4次，重点部位每小时巡查一次，及时发现和处置可疑情况。</w:t>
      </w:r>
    </w:p>
    <w:p w14:paraId="6B76FC7F">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4．对消防、公共安全、公共卫生等方面的突发事件有应急预案，遇突发事件及时报告和有效控制事态的发展，积极协助有关部门处置。</w:t>
      </w:r>
    </w:p>
    <w:p w14:paraId="239E6B5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5．组建义务消防组，配合当地消防队工作；义务消防组定期操练（每年2次），开展消防宣传。</w:t>
      </w:r>
    </w:p>
    <w:p w14:paraId="153CC72F">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年内无重大治安、消防事故的发生。</w:t>
      </w:r>
    </w:p>
    <w:p w14:paraId="0C940EEC">
      <w:pPr>
        <w:pageBreakBefore w:val="0"/>
        <w:kinsoku/>
        <w:wordWrap/>
        <w:overflowPunct/>
        <w:topLinePunct w:val="0"/>
        <w:bidi w:val="0"/>
        <w:spacing w:line="40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24小时值班巡逻，无失窃、被盗、被劫及打架斗殴、火灾事件发生，公共秩序良好。</w:t>
      </w:r>
    </w:p>
    <w:p w14:paraId="56903176">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（三）公共秩序管理</w:t>
      </w:r>
    </w:p>
    <w:p w14:paraId="09744CE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1．对进入物业管理区域的人员实行实名登记管理。</w:t>
      </w:r>
    </w:p>
    <w:p w14:paraId="665ABA1B">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2．对进出物业管理区域的车辆实行出入验证和行驶引导，指挥车辆整齐停放。</w:t>
      </w:r>
    </w:p>
    <w:p w14:paraId="79318EA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3．负责车辆保管，防止车辆的丢失、损坏。</w:t>
      </w:r>
    </w:p>
    <w:p w14:paraId="3FE343F5">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（四）房屋及设备基础设施的维护、保养</w:t>
      </w:r>
    </w:p>
    <w:p w14:paraId="32CAD89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1．房屋及设备设施完好，标志、标识齐全、规范，设施设备运转正常，无事故隐患。</w:t>
      </w:r>
    </w:p>
    <w:p w14:paraId="351ACD9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2．维修养护制度健全，编制维修养护计划，并在工作场所明示，定期检查、保养，建立检查、维修、保养的台帐，记录齐全。</w:t>
      </w:r>
    </w:p>
    <w:p w14:paraId="6E9CBE3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3．对于房屋、设备设施的损坏或故障，属于小修范围的，24小时内组织修复；属于大、中修范围的，及时向业主报告和提出维修建议或方案。</w:t>
      </w:r>
    </w:p>
    <w:p w14:paraId="6A456BAF">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小</w:t>
      </w:r>
      <w:r>
        <w:rPr>
          <w:rFonts w:hint="eastAsia" w:ascii="宋体" w:hAnsi="宋体" w:eastAsia="宋体" w:cs="宋体"/>
          <w:color w:val="auto"/>
          <w:sz w:val="21"/>
          <w:szCs w:val="21"/>
          <w:highlight w:val="none"/>
        </w:rPr>
        <w:t>区道路平整，主要道路及停车场交通标志齐全、规范。</w:t>
      </w:r>
    </w:p>
    <w:p w14:paraId="4A0EA2F6">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5．每天至少1次检查路灯、楼道灯、景观灯等照明设施，完好率达95%以上，按约定时间开关。</w:t>
      </w:r>
    </w:p>
    <w:p w14:paraId="317401A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6．设备用房整洁、通风，无跑、冒、滴、漏和鼠害现象，危及人身安全隐患处有明显标志和防范措施。</w:t>
      </w:r>
    </w:p>
    <w:p w14:paraId="5B376A3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7．对可能发生的各种设备故障及重大或突发性事件有应急方案和现场处理措施、处理记录。</w:t>
      </w:r>
    </w:p>
    <w:p w14:paraId="6CC1E9E3">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8．消防设施设备完好，可随时启用，消防通道畅通；有健全的消防管理制度，建立消防责任制及火灾消防预案。</w:t>
      </w:r>
    </w:p>
    <w:p w14:paraId="29FA5252">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9．雨水井、化粪池每月检查1次，根据需要定期清理疏通，保持通畅，无堵塞外溢。</w:t>
      </w:r>
    </w:p>
    <w:p w14:paraId="4CAAFE2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10．接到相关部门停水、停电通知，应在办公区醒目处提前通知。</w:t>
      </w:r>
    </w:p>
    <w:p w14:paraId="5B78A892">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（备注：空调、消防设施的日常维修及养护不在此次物业服务范围内）</w:t>
      </w:r>
    </w:p>
    <w:p w14:paraId="47F4B83C">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（五）清洁保洁</w:t>
      </w:r>
    </w:p>
    <w:p w14:paraId="793B04D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1．根据</w:t>
      </w:r>
      <w:r>
        <w:rPr>
          <w:rFonts w:hint="eastAsia" w:ascii="宋体" w:hAnsi="宋体" w:eastAsia="宋体" w:cs="宋体"/>
          <w:color w:val="auto"/>
          <w:sz w:val="21"/>
          <w:szCs w:val="21"/>
          <w:highlight w:val="none"/>
          <w:lang w:eastAsia="zh-CN"/>
        </w:rPr>
        <w:t>小</w:t>
      </w:r>
      <w:r>
        <w:rPr>
          <w:rFonts w:hint="eastAsia" w:ascii="宋体" w:hAnsi="宋体" w:eastAsia="宋体" w:cs="宋体"/>
          <w:color w:val="auto"/>
          <w:sz w:val="21"/>
          <w:szCs w:val="21"/>
          <w:highlight w:val="none"/>
        </w:rPr>
        <w:t>区实际情况合理布设垃圾箱（桶）。垃圾清运日产日清，无垃圾桶、果皮箱满溢现象，每天清洗1次，保持垃圾设施清洁、无异味；垃圾收集点周围无散落垃圾、无污迹、无异味。</w:t>
      </w:r>
    </w:p>
    <w:p w14:paraId="523D024A">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2．有健全的保洁制度并上墙张贴，</w:t>
      </w:r>
      <w:r>
        <w:rPr>
          <w:rFonts w:hint="eastAsia" w:ascii="宋体" w:hAnsi="宋体" w:eastAsia="宋体" w:cs="宋体"/>
          <w:color w:val="auto"/>
          <w:sz w:val="21"/>
          <w:szCs w:val="21"/>
          <w:highlight w:val="none"/>
          <w:lang w:eastAsia="zh-CN"/>
        </w:rPr>
        <w:t>小</w:t>
      </w:r>
      <w:r>
        <w:rPr>
          <w:rFonts w:hint="eastAsia" w:ascii="宋体" w:hAnsi="宋体" w:eastAsia="宋体" w:cs="宋体"/>
          <w:color w:val="auto"/>
          <w:sz w:val="21"/>
          <w:szCs w:val="21"/>
          <w:highlight w:val="none"/>
        </w:rPr>
        <w:t>区道路、各楼层走廊、活动</w:t>
      </w:r>
      <w:r>
        <w:rPr>
          <w:rFonts w:hint="eastAsia" w:ascii="宋体" w:hAnsi="宋体" w:eastAsia="宋体" w:cs="宋体"/>
          <w:color w:val="auto"/>
          <w:sz w:val="21"/>
          <w:szCs w:val="21"/>
          <w:highlight w:val="none"/>
          <w:lang w:eastAsia="zh-CN"/>
        </w:rPr>
        <w:t>场所</w:t>
      </w:r>
      <w:r>
        <w:rPr>
          <w:rFonts w:hint="eastAsia" w:ascii="宋体" w:hAnsi="宋体" w:eastAsia="宋体" w:cs="宋体"/>
          <w:color w:val="auto"/>
          <w:sz w:val="21"/>
          <w:szCs w:val="21"/>
          <w:highlight w:val="none"/>
        </w:rPr>
        <w:t>、绿地等公共区域设专人保洁，每天上下午分2次在上班之前对路面进行全面清扫完毕，然后巡回保洁；卫生间每天清洁2次；楼道走道、屋面</w:t>
      </w:r>
      <w:r>
        <w:rPr>
          <w:rFonts w:hint="eastAsia" w:ascii="宋体" w:hAnsi="宋体" w:cs="宋体"/>
          <w:color w:val="auto"/>
          <w:sz w:val="21"/>
          <w:szCs w:val="21"/>
          <w:highlight w:val="none"/>
          <w:lang w:eastAsia="zh-CN"/>
        </w:rPr>
        <w:t>季度</w:t>
      </w:r>
      <w:r>
        <w:rPr>
          <w:rFonts w:hint="eastAsia" w:ascii="宋体" w:hAnsi="宋体" w:eastAsia="宋体" w:cs="宋体"/>
          <w:color w:val="auto"/>
          <w:sz w:val="21"/>
          <w:szCs w:val="21"/>
          <w:highlight w:val="none"/>
        </w:rPr>
        <w:t>清洁1次；</w:t>
      </w:r>
      <w:r>
        <w:rPr>
          <w:rFonts w:hint="eastAsia" w:ascii="宋体" w:hAnsi="宋体" w:cs="宋体"/>
          <w:color w:val="auto"/>
          <w:sz w:val="21"/>
          <w:szCs w:val="21"/>
          <w:highlight w:val="none"/>
          <w:lang w:eastAsia="zh-CN"/>
        </w:rPr>
        <w:t>公共</w:t>
      </w:r>
      <w:r>
        <w:rPr>
          <w:rFonts w:hint="eastAsia" w:ascii="宋体" w:hAnsi="宋体" w:eastAsia="宋体" w:cs="宋体"/>
          <w:color w:val="auto"/>
          <w:sz w:val="21"/>
          <w:szCs w:val="21"/>
          <w:highlight w:val="none"/>
        </w:rPr>
        <w:t>楼梯扶手每日擦拭1次；玻璃每周清洁1次；室外标识、宣传栏、信报箱等共用部位设施设备每周擦拭2次；路灯、楼道灯每月清洁1次。</w:t>
      </w:r>
    </w:p>
    <w:p w14:paraId="43FFEAA9">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．下水道、水沟每天清理1次；共用雨、污水管道每年疏通1次；雨水井、化粪池、污水井每月检查1次，视检查情况及时清掏，保持通畅，无堵塞外溢；化粪池每半年清掏1次，发现异常及时清掏。</w:t>
      </w:r>
    </w:p>
    <w:p w14:paraId="55C5AB8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．进行保洁巡查，楼道内无乱悬挂、乱贴乱画、乱堆放，无明显暴露垃圾、卫生死角等现象，保证办公区内干净整洁。</w:t>
      </w:r>
    </w:p>
    <w:p w14:paraId="471AAC3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．建立消杀工作管理制度，根据</w:t>
      </w:r>
      <w:r>
        <w:rPr>
          <w:rFonts w:hint="eastAsia" w:ascii="宋体" w:hAnsi="宋体" w:cs="宋体"/>
          <w:color w:val="auto"/>
          <w:sz w:val="21"/>
          <w:szCs w:val="21"/>
          <w:highlight w:val="none"/>
          <w:lang w:eastAsia="zh-CN"/>
        </w:rPr>
        <w:t>小</w:t>
      </w:r>
      <w:r>
        <w:rPr>
          <w:rFonts w:hint="eastAsia" w:ascii="宋体" w:hAnsi="宋体" w:eastAsia="宋体" w:cs="宋体"/>
          <w:color w:val="auto"/>
          <w:sz w:val="21"/>
          <w:szCs w:val="21"/>
          <w:highlight w:val="none"/>
        </w:rPr>
        <w:t>区实际情况开展消毒和灭虫除害工作，每季度投放一次消杀药物，有效控制鼠、蟑、蚊、蝇等害虫孳生。</w:t>
      </w:r>
    </w:p>
    <w:p w14:paraId="7C3A5065">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（六）绿化养护</w:t>
      </w:r>
    </w:p>
    <w:p w14:paraId="428EB2DD">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1．有专业人员实施绿化养护管理。</w:t>
      </w:r>
    </w:p>
    <w:p w14:paraId="196E515A">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根据气候状况和季节，适时组织浇灌，每季施肥和松土1次，使花草树木生长良好，无明显桔枝，无死枝，无虫屎虫网；适时修剪、疏密得当，有良好的观赏效果；树形符合自然特征，整形植物树冠完整、主侧枝分布均因，保持一定形状，发现死树在一周内清除，并适时补种。</w:t>
      </w:r>
    </w:p>
    <w:p w14:paraId="11EB28FC">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3．草坪生长整齐，及时清除杂草，有效控制杂草孳生；花坛内无垃圾、无烟头纸屑。</w:t>
      </w:r>
    </w:p>
    <w:p w14:paraId="3E56B99E">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4．绿篱枝叶较茂密，适时进行修剪，无死枝枯叶及杂物，当天清除修剪废弃物。</w:t>
      </w:r>
    </w:p>
    <w:p w14:paraId="2628F27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5．适时组织防冻保暖，定期喷洒药物，预防病虫害，无明显病虫害迹象。喷洒杀虫药时及时通知干部职工，并尽量避开正常上班时间。</w:t>
      </w:r>
    </w:p>
    <w:p w14:paraId="79E7938C">
      <w:pPr>
        <w:pageBreakBefore w:val="0"/>
        <w:kinsoku/>
        <w:wordWrap/>
        <w:overflowPunct/>
        <w:topLinePunct w:val="0"/>
        <w:bidi w:val="0"/>
        <w:spacing w:line="400" w:lineRule="exact"/>
        <w:ind w:firstLine="310" w:firstLineChars="147"/>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w:t>
      </w:r>
      <w:r>
        <w:rPr>
          <w:rFonts w:hint="eastAsia" w:ascii="宋体" w:hAnsi="宋体" w:cs="宋体"/>
          <w:b/>
          <w:color w:val="auto"/>
          <w:sz w:val="21"/>
          <w:szCs w:val="21"/>
          <w:highlight w:val="none"/>
          <w:lang w:eastAsia="zh-CN"/>
        </w:rPr>
        <w:t>七</w:t>
      </w:r>
      <w:r>
        <w:rPr>
          <w:rFonts w:hint="eastAsia" w:ascii="宋体" w:hAnsi="宋体" w:eastAsia="宋体" w:cs="宋体"/>
          <w:b/>
          <w:color w:val="auto"/>
          <w:sz w:val="21"/>
          <w:szCs w:val="21"/>
          <w:highlight w:val="none"/>
        </w:rPr>
        <w:t>）其他服务内容</w:t>
      </w:r>
    </w:p>
    <w:p w14:paraId="17B599A2">
      <w:pPr>
        <w:pageBreakBefore w:val="0"/>
        <w:kinsoku/>
        <w:wordWrap/>
        <w:overflowPunct/>
        <w:topLinePunct w:val="0"/>
        <w:bidi w:val="0"/>
        <w:spacing w:line="400" w:lineRule="exact"/>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在签订物业管理合同之日起7日内接手进驻并逐步进行移交工作，3日内工作移交完毕，进入正常物业管理工作。</w:t>
      </w:r>
    </w:p>
    <w:p w14:paraId="1DC1B334">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2．定期每季度过后5个工作日内向业主汇报物业管理总体情况。</w:t>
      </w:r>
    </w:p>
    <w:p w14:paraId="5A5EF2EB">
      <w:pPr>
        <w:pageBreakBefore w:val="0"/>
        <w:kinsoku/>
        <w:wordWrap/>
        <w:overflowPunct/>
        <w:topLinePunct w:val="0"/>
        <w:bidi w:val="0"/>
        <w:spacing w:line="400" w:lineRule="exact"/>
        <w:ind w:firstLine="420" w:firstLineChars="2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3．不得擅自占用和改变公用设施的使用功能，如需完善或扩建，须与甲方协商，经甲方同意后方可实施。</w:t>
      </w:r>
    </w:p>
    <w:p w14:paraId="2CF84563">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外观完好、整洁，外墙装饰无脱落、无污迹、无乱搭乱建、公共设施无随意占用。</w:t>
      </w:r>
    </w:p>
    <w:p w14:paraId="6CC0BA2D">
      <w:pPr>
        <w:pageBreakBefore w:val="0"/>
        <w:kinsoku/>
        <w:wordWrap/>
        <w:overflowPunct/>
        <w:topLinePunct w:val="0"/>
        <w:bidi w:val="0"/>
        <w:spacing w:line="400" w:lineRule="exact"/>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cs="宋体"/>
          <w:b w:val="0"/>
          <w:bCs/>
          <w:color w:val="auto"/>
          <w:sz w:val="21"/>
          <w:szCs w:val="21"/>
          <w:highlight w:val="none"/>
          <w:lang w:val="en-US" w:eastAsia="zh-CN"/>
        </w:rPr>
        <w:t>5.</w:t>
      </w:r>
      <w:r>
        <w:rPr>
          <w:rFonts w:hint="eastAsia" w:ascii="宋体" w:hAnsi="宋体" w:eastAsia="宋体" w:cs="宋体"/>
          <w:b w:val="0"/>
          <w:bCs/>
          <w:color w:val="auto"/>
          <w:sz w:val="21"/>
          <w:szCs w:val="21"/>
          <w:highlight w:val="none"/>
        </w:rPr>
        <w:t>设备运行</w:t>
      </w:r>
      <w:r>
        <w:rPr>
          <w:rFonts w:hint="eastAsia" w:ascii="宋体" w:hAnsi="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保证水、电等设备运行正常、无事故隐患。预防故障和养护及管理到位。</w:t>
      </w:r>
    </w:p>
    <w:p w14:paraId="5887BCC0">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．卫生达到国家爱卫办优等标准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垃圾日产日清，定期进行卫生消毒灭菌以及除“四害”。</w:t>
      </w:r>
    </w:p>
    <w:p w14:paraId="2F03A33F">
      <w:pPr>
        <w:pageBreakBefore w:val="0"/>
        <w:kinsoku/>
        <w:wordWrap/>
        <w:overflowPunct/>
        <w:topLinePunct w:val="0"/>
        <w:bidi w:val="0"/>
        <w:spacing w:line="400" w:lineRule="exact"/>
        <w:ind w:firstLine="411" w:firstLineChars="196"/>
        <w:textAlignment w:val="auto"/>
        <w:rPr>
          <w:rFonts w:hint="eastAsia" w:ascii="宋体" w:hAnsi="宋体" w:eastAsia="宋体" w:cs="宋体"/>
          <w:b w:val="0"/>
          <w:bCs/>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b w:val="0"/>
          <w:bCs/>
          <w:color w:val="auto"/>
          <w:sz w:val="21"/>
          <w:szCs w:val="21"/>
          <w:highlight w:val="none"/>
        </w:rPr>
        <w:t>各项工作须有应急预案并上墙，开展经常性的培训，有专人负责；急修要求五分钟内到位，小修要求30分钟内到位。</w:t>
      </w:r>
    </w:p>
    <w:p w14:paraId="79C31F96">
      <w:pPr>
        <w:pageBreakBefore w:val="0"/>
        <w:kinsoku/>
        <w:wordWrap/>
        <w:overflowPunct/>
        <w:topLinePunct w:val="0"/>
        <w:bidi w:val="0"/>
        <w:spacing w:line="400" w:lineRule="exact"/>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cs="宋体"/>
          <w:b w:val="0"/>
          <w:bCs/>
          <w:color w:val="auto"/>
          <w:sz w:val="21"/>
          <w:szCs w:val="21"/>
          <w:highlight w:val="none"/>
          <w:lang w:val="en-US" w:eastAsia="zh-CN"/>
        </w:rPr>
        <w:t>8.</w:t>
      </w:r>
      <w:r>
        <w:rPr>
          <w:rFonts w:hint="eastAsia" w:ascii="宋体" w:hAnsi="宋体" w:eastAsia="宋体" w:cs="宋体"/>
          <w:b w:val="0"/>
          <w:bCs/>
          <w:color w:val="auto"/>
          <w:sz w:val="21"/>
          <w:szCs w:val="21"/>
          <w:highlight w:val="none"/>
        </w:rPr>
        <w:t>物业管理制度健全，管理落实到位。</w:t>
      </w:r>
    </w:p>
    <w:p w14:paraId="130DB6BB">
      <w:pPr>
        <w:pageBreakBefore w:val="0"/>
        <w:kinsoku/>
        <w:wordWrap/>
        <w:overflowPunct/>
        <w:topLinePunct w:val="0"/>
        <w:bidi w:val="0"/>
        <w:spacing w:line="400" w:lineRule="exact"/>
        <w:ind w:firstLine="411" w:firstLineChars="196"/>
        <w:textAlignment w:val="auto"/>
        <w:rPr>
          <w:rFonts w:hint="eastAsia" w:ascii="宋体" w:hAnsi="宋体" w:eastAsia="宋体" w:cs="宋体"/>
          <w:b w:val="0"/>
          <w:bCs/>
          <w:color w:val="auto"/>
          <w:sz w:val="21"/>
          <w:szCs w:val="21"/>
          <w:highlight w:val="none"/>
        </w:rPr>
      </w:pPr>
      <w:r>
        <w:rPr>
          <w:rFonts w:hint="eastAsia" w:ascii="宋体" w:hAnsi="宋体" w:cs="宋体"/>
          <w:b w:val="0"/>
          <w:bCs/>
          <w:color w:val="auto"/>
          <w:sz w:val="21"/>
          <w:szCs w:val="21"/>
          <w:highlight w:val="none"/>
          <w:lang w:val="en-US" w:eastAsia="zh-CN"/>
        </w:rPr>
        <w:t>9.</w:t>
      </w:r>
      <w:r>
        <w:rPr>
          <w:rFonts w:hint="eastAsia" w:ascii="宋体" w:hAnsi="宋体" w:eastAsia="宋体" w:cs="宋体"/>
          <w:b w:val="0"/>
          <w:bCs/>
          <w:color w:val="auto"/>
          <w:sz w:val="21"/>
          <w:szCs w:val="21"/>
          <w:highlight w:val="none"/>
        </w:rPr>
        <w:t>业主满意率达到90％以上。</w:t>
      </w:r>
    </w:p>
    <w:p w14:paraId="52D5760D">
      <w:pPr>
        <w:pageBreakBefore w:val="0"/>
        <w:kinsoku/>
        <w:wordWrap/>
        <w:overflowPunct/>
        <w:topLinePunct w:val="0"/>
        <w:bidi w:val="0"/>
        <w:spacing w:line="400" w:lineRule="exact"/>
        <w:ind w:firstLine="449" w:firstLineChars="214"/>
        <w:textAlignment w:val="auto"/>
        <w:rPr>
          <w:rFonts w:hint="eastAsia" w:ascii="宋体" w:hAnsi="宋体" w:eastAsia="宋体" w:cs="宋体"/>
          <w:b w:val="0"/>
          <w:bCs/>
          <w:color w:val="auto"/>
          <w:sz w:val="21"/>
          <w:szCs w:val="21"/>
          <w:highlight w:val="none"/>
        </w:rPr>
      </w:pPr>
      <w:r>
        <w:rPr>
          <w:rFonts w:hint="eastAsia" w:ascii="宋体" w:hAnsi="宋体" w:cs="宋体"/>
          <w:b w:val="0"/>
          <w:bCs/>
          <w:color w:val="auto"/>
          <w:sz w:val="21"/>
          <w:szCs w:val="21"/>
          <w:highlight w:val="none"/>
          <w:lang w:val="en-US" w:eastAsia="zh-CN"/>
        </w:rPr>
        <w:t>10.</w:t>
      </w:r>
      <w:r>
        <w:rPr>
          <w:rFonts w:hint="eastAsia" w:ascii="宋体" w:hAnsi="宋体" w:eastAsia="宋体" w:cs="宋体"/>
          <w:b w:val="0"/>
          <w:bCs/>
          <w:color w:val="auto"/>
          <w:sz w:val="21"/>
          <w:szCs w:val="21"/>
          <w:highlight w:val="none"/>
        </w:rPr>
        <w:t>物业管理人员最低配置及素质要求</w:t>
      </w:r>
    </w:p>
    <w:p w14:paraId="76E87FEB">
      <w:pPr>
        <w:pageBreakBefore w:val="0"/>
        <w:kinsoku/>
        <w:wordWrap/>
        <w:overflowPunct/>
        <w:topLinePunct w:val="0"/>
        <w:bidi w:val="0"/>
        <w:spacing w:line="400" w:lineRule="exact"/>
        <w:ind w:firstLine="451" w:firstLineChars="214"/>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10.1</w:t>
      </w:r>
      <w:r>
        <w:rPr>
          <w:rFonts w:hint="eastAsia" w:ascii="宋体" w:hAnsi="宋体" w:eastAsia="宋体" w:cs="宋体"/>
          <w:b/>
          <w:color w:val="auto"/>
          <w:sz w:val="21"/>
          <w:szCs w:val="21"/>
          <w:highlight w:val="none"/>
        </w:rPr>
        <w:t>人员配置（最低配置数额）</w:t>
      </w:r>
    </w:p>
    <w:p w14:paraId="047FE68D">
      <w:pPr>
        <w:pageBreakBefore w:val="0"/>
        <w:kinsoku/>
        <w:wordWrap/>
        <w:overflowPunct/>
        <w:topLinePunct w:val="0"/>
        <w:bidi w:val="0"/>
        <w:spacing w:line="400" w:lineRule="exact"/>
        <w:ind w:firstLine="1054" w:firstLineChars="5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 xml:space="preserve"> </w:t>
      </w:r>
      <w:r>
        <w:rPr>
          <w:rFonts w:hint="eastAsia" w:ascii="宋体" w:hAnsi="宋体" w:eastAsia="宋体" w:cs="宋体"/>
          <w:b/>
          <w:bCs/>
          <w:color w:val="auto"/>
          <w:sz w:val="21"/>
          <w:szCs w:val="21"/>
          <w:highlight w:val="none"/>
          <w:lang w:val="en-US" w:eastAsia="zh-CN"/>
        </w:rPr>
        <w:t>A区（</w:t>
      </w:r>
      <w:r>
        <w:rPr>
          <w:rFonts w:hint="eastAsia" w:ascii="宋体" w:hAnsi="宋体" w:eastAsia="宋体" w:cs="宋体"/>
          <w:b/>
          <w:bCs/>
          <w:color w:val="auto"/>
          <w:sz w:val="21"/>
          <w:szCs w:val="21"/>
          <w:highlight w:val="none"/>
          <w:lang w:eastAsia="zh-CN"/>
        </w:rPr>
        <w:t>梧桐水岸）小区</w:t>
      </w:r>
      <w:r>
        <w:rPr>
          <w:rFonts w:hint="eastAsia" w:ascii="宋体" w:hAnsi="宋体" w:eastAsia="宋体" w:cs="宋体"/>
          <w:b/>
          <w:bCs/>
          <w:color w:val="auto"/>
          <w:sz w:val="21"/>
          <w:szCs w:val="21"/>
          <w:highlight w:val="none"/>
        </w:rPr>
        <w:t>物业服务项目人员配置表</w:t>
      </w:r>
    </w:p>
    <w:tbl>
      <w:tblPr>
        <w:tblStyle w:val="2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3050"/>
        <w:gridCol w:w="3187"/>
      </w:tblGrid>
      <w:tr w14:paraId="0AE6C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6442DDBD">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050" w:type="dxa"/>
            <w:tcBorders>
              <w:top w:val="single" w:color="auto" w:sz="4" w:space="0"/>
              <w:left w:val="single" w:color="auto" w:sz="4" w:space="0"/>
              <w:bottom w:val="single" w:color="auto" w:sz="4" w:space="0"/>
              <w:right w:val="single" w:color="auto" w:sz="4" w:space="0"/>
            </w:tcBorders>
            <w:vAlign w:val="center"/>
          </w:tcPr>
          <w:p w14:paraId="29B12FF8">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岗位</w:t>
            </w:r>
          </w:p>
        </w:tc>
        <w:tc>
          <w:tcPr>
            <w:tcW w:w="3187" w:type="dxa"/>
            <w:tcBorders>
              <w:top w:val="single" w:color="auto" w:sz="4" w:space="0"/>
              <w:left w:val="single" w:color="auto" w:sz="4" w:space="0"/>
              <w:bottom w:val="single" w:color="auto" w:sz="4" w:space="0"/>
              <w:right w:val="single" w:color="auto" w:sz="4" w:space="0"/>
            </w:tcBorders>
            <w:vAlign w:val="center"/>
          </w:tcPr>
          <w:p w14:paraId="5228121F">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编制</w:t>
            </w:r>
          </w:p>
        </w:tc>
      </w:tr>
      <w:tr w14:paraId="2A1F5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0F4EBD5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50" w:type="dxa"/>
            <w:tcBorders>
              <w:top w:val="single" w:color="auto" w:sz="4" w:space="0"/>
              <w:left w:val="single" w:color="auto" w:sz="4" w:space="0"/>
              <w:bottom w:val="single" w:color="auto" w:sz="4" w:space="0"/>
              <w:right w:val="single" w:color="auto" w:sz="4" w:space="0"/>
            </w:tcBorders>
            <w:vAlign w:val="center"/>
          </w:tcPr>
          <w:p w14:paraId="183113BA">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项目经理</w:t>
            </w:r>
            <w:r>
              <w:rPr>
                <w:rFonts w:hint="eastAsia" w:ascii="宋体" w:hAnsi="宋体" w:cs="宋体"/>
                <w:color w:val="auto"/>
                <w:sz w:val="21"/>
                <w:szCs w:val="21"/>
                <w:highlight w:val="none"/>
                <w:lang w:eastAsia="zh-CN"/>
              </w:rPr>
              <w:t>及客服主管</w:t>
            </w:r>
          </w:p>
        </w:tc>
        <w:tc>
          <w:tcPr>
            <w:tcW w:w="3187" w:type="dxa"/>
            <w:tcBorders>
              <w:top w:val="single" w:color="auto" w:sz="4" w:space="0"/>
              <w:left w:val="single" w:color="auto" w:sz="4" w:space="0"/>
              <w:bottom w:val="single" w:color="auto" w:sz="4" w:space="0"/>
              <w:right w:val="single" w:color="auto" w:sz="4" w:space="0"/>
            </w:tcBorders>
            <w:vAlign w:val="center"/>
          </w:tcPr>
          <w:p w14:paraId="2379EEB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人</w:t>
            </w:r>
          </w:p>
        </w:tc>
      </w:tr>
      <w:tr w14:paraId="2778D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83FB98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50" w:type="dxa"/>
            <w:tcBorders>
              <w:top w:val="single" w:color="auto" w:sz="4" w:space="0"/>
              <w:left w:val="single" w:color="auto" w:sz="4" w:space="0"/>
              <w:bottom w:val="single" w:color="auto" w:sz="4" w:space="0"/>
              <w:right w:val="single" w:color="auto" w:sz="4" w:space="0"/>
            </w:tcBorders>
            <w:vAlign w:val="center"/>
          </w:tcPr>
          <w:p w14:paraId="6F43B5F4">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队长（保安队长）</w:t>
            </w:r>
          </w:p>
        </w:tc>
        <w:tc>
          <w:tcPr>
            <w:tcW w:w="3187" w:type="dxa"/>
            <w:tcBorders>
              <w:top w:val="single" w:color="auto" w:sz="4" w:space="0"/>
              <w:left w:val="single" w:color="auto" w:sz="4" w:space="0"/>
              <w:bottom w:val="single" w:color="auto" w:sz="4" w:space="0"/>
              <w:right w:val="single" w:color="auto" w:sz="4" w:space="0"/>
            </w:tcBorders>
            <w:vAlign w:val="center"/>
          </w:tcPr>
          <w:p w14:paraId="7876E6C4">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w:t>
            </w:r>
          </w:p>
        </w:tc>
      </w:tr>
      <w:tr w14:paraId="0B40B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3E463792">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050" w:type="dxa"/>
            <w:tcBorders>
              <w:top w:val="single" w:color="auto" w:sz="4" w:space="0"/>
              <w:left w:val="single" w:color="auto" w:sz="4" w:space="0"/>
              <w:bottom w:val="single" w:color="auto" w:sz="4" w:space="0"/>
              <w:right w:val="single" w:color="auto" w:sz="4" w:space="0"/>
            </w:tcBorders>
            <w:vAlign w:val="center"/>
          </w:tcPr>
          <w:p w14:paraId="3ACC0C2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秩序员（保安员）</w:t>
            </w:r>
          </w:p>
        </w:tc>
        <w:tc>
          <w:tcPr>
            <w:tcW w:w="3187" w:type="dxa"/>
            <w:tcBorders>
              <w:top w:val="single" w:color="auto" w:sz="4" w:space="0"/>
              <w:left w:val="single" w:color="auto" w:sz="4" w:space="0"/>
              <w:bottom w:val="single" w:color="auto" w:sz="4" w:space="0"/>
              <w:right w:val="single" w:color="auto" w:sz="4" w:space="0"/>
            </w:tcBorders>
            <w:vAlign w:val="center"/>
          </w:tcPr>
          <w:p w14:paraId="2F80B08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人</w:t>
            </w:r>
          </w:p>
        </w:tc>
      </w:tr>
      <w:tr w14:paraId="24519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5C702FA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050" w:type="dxa"/>
            <w:tcBorders>
              <w:top w:val="single" w:color="auto" w:sz="4" w:space="0"/>
              <w:left w:val="single" w:color="auto" w:sz="4" w:space="0"/>
              <w:bottom w:val="single" w:color="auto" w:sz="4" w:space="0"/>
              <w:right w:val="single" w:color="auto" w:sz="4" w:space="0"/>
            </w:tcBorders>
            <w:vAlign w:val="center"/>
          </w:tcPr>
          <w:p w14:paraId="7CD3E4E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消防监控员及水电工</w:t>
            </w:r>
          </w:p>
        </w:tc>
        <w:tc>
          <w:tcPr>
            <w:tcW w:w="3187" w:type="dxa"/>
            <w:tcBorders>
              <w:top w:val="single" w:color="auto" w:sz="4" w:space="0"/>
              <w:left w:val="single" w:color="auto" w:sz="4" w:space="0"/>
              <w:bottom w:val="single" w:color="auto" w:sz="4" w:space="0"/>
              <w:right w:val="single" w:color="auto" w:sz="4" w:space="0"/>
            </w:tcBorders>
            <w:vAlign w:val="center"/>
          </w:tcPr>
          <w:p w14:paraId="023F817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人</w:t>
            </w:r>
          </w:p>
        </w:tc>
      </w:tr>
      <w:tr w14:paraId="3DE71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F643B1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p>
        </w:tc>
        <w:tc>
          <w:tcPr>
            <w:tcW w:w="3050" w:type="dxa"/>
            <w:tcBorders>
              <w:top w:val="single" w:color="auto" w:sz="4" w:space="0"/>
              <w:left w:val="single" w:color="auto" w:sz="4" w:space="0"/>
              <w:bottom w:val="single" w:color="auto" w:sz="4" w:space="0"/>
              <w:right w:val="single" w:color="auto" w:sz="4" w:space="0"/>
            </w:tcBorders>
            <w:vAlign w:val="center"/>
          </w:tcPr>
          <w:p w14:paraId="5DE14761">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水电工程维修员</w:t>
            </w:r>
          </w:p>
        </w:tc>
        <w:tc>
          <w:tcPr>
            <w:tcW w:w="3187" w:type="dxa"/>
            <w:tcBorders>
              <w:top w:val="single" w:color="auto" w:sz="4" w:space="0"/>
              <w:left w:val="single" w:color="auto" w:sz="4" w:space="0"/>
              <w:bottom w:val="single" w:color="auto" w:sz="4" w:space="0"/>
              <w:right w:val="single" w:color="auto" w:sz="4" w:space="0"/>
            </w:tcBorders>
            <w:vAlign w:val="center"/>
          </w:tcPr>
          <w:p w14:paraId="756D129A">
            <w:pPr>
              <w:pageBreakBefore w:val="0"/>
              <w:kinsoku/>
              <w:wordWrap/>
              <w:overflowPunct/>
              <w:topLinePunct w:val="0"/>
              <w:bidi w:val="0"/>
              <w:spacing w:line="400" w:lineRule="exact"/>
              <w:jc w:val="center"/>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1人</w:t>
            </w:r>
          </w:p>
        </w:tc>
      </w:tr>
      <w:tr w14:paraId="551F8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67BD4CF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050" w:type="dxa"/>
            <w:tcBorders>
              <w:top w:val="single" w:color="auto" w:sz="4" w:space="0"/>
              <w:left w:val="single" w:color="auto" w:sz="4" w:space="0"/>
              <w:bottom w:val="single" w:color="auto" w:sz="4" w:space="0"/>
              <w:right w:val="single" w:color="auto" w:sz="4" w:space="0"/>
            </w:tcBorders>
            <w:vAlign w:val="center"/>
          </w:tcPr>
          <w:p w14:paraId="2329BACE">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保洁绿化员</w:t>
            </w:r>
          </w:p>
        </w:tc>
        <w:tc>
          <w:tcPr>
            <w:tcW w:w="3187" w:type="dxa"/>
            <w:tcBorders>
              <w:top w:val="single" w:color="auto" w:sz="4" w:space="0"/>
              <w:left w:val="single" w:color="auto" w:sz="4" w:space="0"/>
              <w:bottom w:val="single" w:color="auto" w:sz="4" w:space="0"/>
              <w:right w:val="single" w:color="auto" w:sz="4" w:space="0"/>
            </w:tcBorders>
            <w:vAlign w:val="center"/>
          </w:tcPr>
          <w:p w14:paraId="198BD86D">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人</w:t>
            </w:r>
          </w:p>
        </w:tc>
      </w:tr>
      <w:tr w14:paraId="6882C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4631" w:type="dxa"/>
            <w:gridSpan w:val="2"/>
            <w:tcBorders>
              <w:top w:val="single" w:color="auto" w:sz="4" w:space="0"/>
              <w:left w:val="single" w:color="auto" w:sz="4" w:space="0"/>
              <w:bottom w:val="single" w:color="auto" w:sz="4" w:space="0"/>
              <w:right w:val="single" w:color="auto" w:sz="4" w:space="0"/>
            </w:tcBorders>
            <w:vAlign w:val="center"/>
          </w:tcPr>
          <w:p w14:paraId="53C01EA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187" w:type="dxa"/>
            <w:tcBorders>
              <w:top w:val="single" w:color="auto" w:sz="4" w:space="0"/>
              <w:left w:val="single" w:color="auto" w:sz="4" w:space="0"/>
              <w:bottom w:val="single" w:color="auto" w:sz="4" w:space="0"/>
              <w:right w:val="single" w:color="auto" w:sz="4" w:space="0"/>
            </w:tcBorders>
            <w:vAlign w:val="center"/>
          </w:tcPr>
          <w:p w14:paraId="6FD2D77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人</w:t>
            </w:r>
          </w:p>
        </w:tc>
      </w:tr>
    </w:tbl>
    <w:p w14:paraId="34ECB9DC">
      <w:pPr>
        <w:pageBreakBefore w:val="0"/>
        <w:kinsoku/>
        <w:wordWrap/>
        <w:overflowPunct/>
        <w:topLinePunct w:val="0"/>
        <w:bidi w:val="0"/>
        <w:spacing w:line="400" w:lineRule="exact"/>
        <w:ind w:firstLine="1054" w:firstLineChars="5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B区（梧桐新城）</w:t>
      </w:r>
      <w:r>
        <w:rPr>
          <w:rFonts w:hint="eastAsia" w:ascii="宋体" w:hAnsi="宋体" w:eastAsia="宋体" w:cs="宋体"/>
          <w:b/>
          <w:bCs/>
          <w:color w:val="auto"/>
          <w:sz w:val="21"/>
          <w:szCs w:val="21"/>
          <w:highlight w:val="none"/>
          <w:lang w:eastAsia="zh-CN"/>
        </w:rPr>
        <w:t>小区</w:t>
      </w:r>
      <w:r>
        <w:rPr>
          <w:rFonts w:hint="eastAsia" w:ascii="宋体" w:hAnsi="宋体" w:eastAsia="宋体" w:cs="宋体"/>
          <w:b/>
          <w:bCs/>
          <w:color w:val="auto"/>
          <w:sz w:val="21"/>
          <w:szCs w:val="21"/>
          <w:highlight w:val="none"/>
        </w:rPr>
        <w:t>物业服务项目人员配置表</w:t>
      </w:r>
    </w:p>
    <w:tbl>
      <w:tblPr>
        <w:tblStyle w:val="2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3050"/>
        <w:gridCol w:w="3187"/>
      </w:tblGrid>
      <w:tr w14:paraId="1AAC5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21245C35">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050" w:type="dxa"/>
            <w:tcBorders>
              <w:top w:val="single" w:color="auto" w:sz="4" w:space="0"/>
              <w:left w:val="single" w:color="auto" w:sz="4" w:space="0"/>
              <w:bottom w:val="single" w:color="auto" w:sz="4" w:space="0"/>
              <w:right w:val="single" w:color="auto" w:sz="4" w:space="0"/>
            </w:tcBorders>
            <w:vAlign w:val="center"/>
          </w:tcPr>
          <w:p w14:paraId="7602EC4E">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岗位</w:t>
            </w:r>
          </w:p>
        </w:tc>
        <w:tc>
          <w:tcPr>
            <w:tcW w:w="3187" w:type="dxa"/>
            <w:tcBorders>
              <w:top w:val="single" w:color="auto" w:sz="4" w:space="0"/>
              <w:left w:val="single" w:color="auto" w:sz="4" w:space="0"/>
              <w:bottom w:val="single" w:color="auto" w:sz="4" w:space="0"/>
              <w:right w:val="single" w:color="auto" w:sz="4" w:space="0"/>
            </w:tcBorders>
            <w:vAlign w:val="center"/>
          </w:tcPr>
          <w:p w14:paraId="6127DE59">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编制</w:t>
            </w:r>
          </w:p>
        </w:tc>
      </w:tr>
      <w:tr w14:paraId="4C377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2A95391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50" w:type="dxa"/>
            <w:tcBorders>
              <w:top w:val="single" w:color="auto" w:sz="4" w:space="0"/>
              <w:left w:val="single" w:color="auto" w:sz="4" w:space="0"/>
              <w:bottom w:val="single" w:color="auto" w:sz="4" w:space="0"/>
              <w:right w:val="single" w:color="auto" w:sz="4" w:space="0"/>
            </w:tcBorders>
            <w:vAlign w:val="center"/>
          </w:tcPr>
          <w:p w14:paraId="44F3A3B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项目经理</w:t>
            </w:r>
          </w:p>
        </w:tc>
        <w:tc>
          <w:tcPr>
            <w:tcW w:w="3187" w:type="dxa"/>
            <w:tcBorders>
              <w:top w:val="single" w:color="auto" w:sz="4" w:space="0"/>
              <w:left w:val="single" w:color="auto" w:sz="4" w:space="0"/>
              <w:bottom w:val="single" w:color="auto" w:sz="4" w:space="0"/>
              <w:right w:val="single" w:color="auto" w:sz="4" w:space="0"/>
            </w:tcBorders>
            <w:vAlign w:val="center"/>
          </w:tcPr>
          <w:p w14:paraId="588E732C">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5269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9B72691">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50" w:type="dxa"/>
            <w:tcBorders>
              <w:top w:val="single" w:color="auto" w:sz="4" w:space="0"/>
              <w:left w:val="single" w:color="auto" w:sz="4" w:space="0"/>
              <w:bottom w:val="single" w:color="auto" w:sz="4" w:space="0"/>
              <w:right w:val="single" w:color="auto" w:sz="4" w:space="0"/>
            </w:tcBorders>
            <w:vAlign w:val="center"/>
          </w:tcPr>
          <w:p w14:paraId="11D5FD66">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队长（保安队长）</w:t>
            </w:r>
          </w:p>
        </w:tc>
        <w:tc>
          <w:tcPr>
            <w:tcW w:w="3187" w:type="dxa"/>
            <w:tcBorders>
              <w:top w:val="single" w:color="auto" w:sz="4" w:space="0"/>
              <w:left w:val="single" w:color="auto" w:sz="4" w:space="0"/>
              <w:bottom w:val="single" w:color="auto" w:sz="4" w:space="0"/>
              <w:right w:val="single" w:color="auto" w:sz="4" w:space="0"/>
            </w:tcBorders>
            <w:vAlign w:val="center"/>
          </w:tcPr>
          <w:p w14:paraId="1351175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w:t>
            </w:r>
          </w:p>
        </w:tc>
      </w:tr>
      <w:tr w14:paraId="0065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4D98111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050" w:type="dxa"/>
            <w:tcBorders>
              <w:top w:val="single" w:color="auto" w:sz="4" w:space="0"/>
              <w:left w:val="single" w:color="auto" w:sz="4" w:space="0"/>
              <w:bottom w:val="single" w:color="auto" w:sz="4" w:space="0"/>
              <w:right w:val="single" w:color="auto" w:sz="4" w:space="0"/>
            </w:tcBorders>
            <w:vAlign w:val="center"/>
          </w:tcPr>
          <w:p w14:paraId="655F2833">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秩序员（保安员）</w:t>
            </w:r>
          </w:p>
        </w:tc>
        <w:tc>
          <w:tcPr>
            <w:tcW w:w="3187" w:type="dxa"/>
            <w:tcBorders>
              <w:top w:val="single" w:color="auto" w:sz="4" w:space="0"/>
              <w:left w:val="single" w:color="auto" w:sz="4" w:space="0"/>
              <w:bottom w:val="single" w:color="auto" w:sz="4" w:space="0"/>
              <w:right w:val="single" w:color="auto" w:sz="4" w:space="0"/>
            </w:tcBorders>
            <w:vAlign w:val="center"/>
          </w:tcPr>
          <w:p w14:paraId="5B0548E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人</w:t>
            </w:r>
          </w:p>
        </w:tc>
      </w:tr>
      <w:tr w14:paraId="245B9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2700006A">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050" w:type="dxa"/>
            <w:tcBorders>
              <w:top w:val="single" w:color="auto" w:sz="4" w:space="0"/>
              <w:left w:val="single" w:color="auto" w:sz="4" w:space="0"/>
              <w:bottom w:val="single" w:color="auto" w:sz="4" w:space="0"/>
              <w:right w:val="single" w:color="auto" w:sz="4" w:space="0"/>
            </w:tcBorders>
            <w:vAlign w:val="center"/>
          </w:tcPr>
          <w:p w14:paraId="4C03AEE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消防监控员及水电工</w:t>
            </w:r>
          </w:p>
        </w:tc>
        <w:tc>
          <w:tcPr>
            <w:tcW w:w="3187" w:type="dxa"/>
            <w:tcBorders>
              <w:top w:val="single" w:color="auto" w:sz="4" w:space="0"/>
              <w:left w:val="single" w:color="auto" w:sz="4" w:space="0"/>
              <w:bottom w:val="single" w:color="auto" w:sz="4" w:space="0"/>
              <w:right w:val="single" w:color="auto" w:sz="4" w:space="0"/>
            </w:tcBorders>
            <w:vAlign w:val="center"/>
          </w:tcPr>
          <w:p w14:paraId="35BD35F9">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5B2D7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4E3DD0FB">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050" w:type="dxa"/>
            <w:tcBorders>
              <w:top w:val="single" w:color="auto" w:sz="4" w:space="0"/>
              <w:left w:val="single" w:color="auto" w:sz="4" w:space="0"/>
              <w:bottom w:val="single" w:color="auto" w:sz="4" w:space="0"/>
              <w:right w:val="single" w:color="auto" w:sz="4" w:space="0"/>
            </w:tcBorders>
            <w:vAlign w:val="center"/>
          </w:tcPr>
          <w:p w14:paraId="1CD13DB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保洁绿化员</w:t>
            </w:r>
          </w:p>
        </w:tc>
        <w:tc>
          <w:tcPr>
            <w:tcW w:w="3187" w:type="dxa"/>
            <w:tcBorders>
              <w:top w:val="single" w:color="auto" w:sz="4" w:space="0"/>
              <w:left w:val="single" w:color="auto" w:sz="4" w:space="0"/>
              <w:bottom w:val="single" w:color="auto" w:sz="4" w:space="0"/>
              <w:right w:val="single" w:color="auto" w:sz="4" w:space="0"/>
            </w:tcBorders>
            <w:vAlign w:val="center"/>
          </w:tcPr>
          <w:p w14:paraId="5A904715">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7BBC4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4631" w:type="dxa"/>
            <w:gridSpan w:val="2"/>
            <w:tcBorders>
              <w:top w:val="single" w:color="auto" w:sz="4" w:space="0"/>
              <w:left w:val="single" w:color="auto" w:sz="4" w:space="0"/>
              <w:bottom w:val="single" w:color="auto" w:sz="4" w:space="0"/>
              <w:right w:val="single" w:color="auto" w:sz="4" w:space="0"/>
            </w:tcBorders>
            <w:vAlign w:val="center"/>
          </w:tcPr>
          <w:p w14:paraId="7429FBFE">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187" w:type="dxa"/>
            <w:tcBorders>
              <w:top w:val="single" w:color="auto" w:sz="4" w:space="0"/>
              <w:left w:val="single" w:color="auto" w:sz="4" w:space="0"/>
              <w:bottom w:val="single" w:color="auto" w:sz="4" w:space="0"/>
              <w:right w:val="single" w:color="auto" w:sz="4" w:space="0"/>
            </w:tcBorders>
            <w:vAlign w:val="center"/>
          </w:tcPr>
          <w:p w14:paraId="2E8DFD58">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人</w:t>
            </w:r>
          </w:p>
        </w:tc>
      </w:tr>
    </w:tbl>
    <w:p w14:paraId="73B7F3A8">
      <w:pPr>
        <w:pageBreakBefore w:val="0"/>
        <w:kinsoku/>
        <w:wordWrap/>
        <w:overflowPunct/>
        <w:topLinePunct w:val="0"/>
        <w:bidi w:val="0"/>
        <w:spacing w:line="400" w:lineRule="exact"/>
        <w:ind w:firstLine="1054" w:firstLineChars="5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C区（梧桐家园）</w:t>
      </w:r>
      <w:r>
        <w:rPr>
          <w:rFonts w:hint="eastAsia" w:ascii="宋体" w:hAnsi="宋体" w:eastAsia="宋体" w:cs="宋体"/>
          <w:b/>
          <w:bCs/>
          <w:color w:val="auto"/>
          <w:sz w:val="21"/>
          <w:szCs w:val="21"/>
          <w:highlight w:val="none"/>
          <w:lang w:eastAsia="zh-CN"/>
        </w:rPr>
        <w:t>小区</w:t>
      </w:r>
      <w:r>
        <w:rPr>
          <w:rFonts w:hint="eastAsia" w:ascii="宋体" w:hAnsi="宋体" w:eastAsia="宋体" w:cs="宋体"/>
          <w:b/>
          <w:bCs/>
          <w:color w:val="auto"/>
          <w:sz w:val="21"/>
          <w:szCs w:val="21"/>
          <w:highlight w:val="none"/>
        </w:rPr>
        <w:t>物业服务项目人员配置表</w:t>
      </w:r>
    </w:p>
    <w:tbl>
      <w:tblPr>
        <w:tblStyle w:val="2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3050"/>
        <w:gridCol w:w="3187"/>
      </w:tblGrid>
      <w:tr w14:paraId="335DB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022CE1B3">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050" w:type="dxa"/>
            <w:tcBorders>
              <w:top w:val="single" w:color="auto" w:sz="4" w:space="0"/>
              <w:left w:val="single" w:color="auto" w:sz="4" w:space="0"/>
              <w:bottom w:val="single" w:color="auto" w:sz="4" w:space="0"/>
              <w:right w:val="single" w:color="auto" w:sz="4" w:space="0"/>
            </w:tcBorders>
            <w:vAlign w:val="center"/>
          </w:tcPr>
          <w:p w14:paraId="60B7A2EF">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岗位</w:t>
            </w:r>
          </w:p>
        </w:tc>
        <w:tc>
          <w:tcPr>
            <w:tcW w:w="3187" w:type="dxa"/>
            <w:tcBorders>
              <w:top w:val="single" w:color="auto" w:sz="4" w:space="0"/>
              <w:left w:val="single" w:color="auto" w:sz="4" w:space="0"/>
              <w:bottom w:val="single" w:color="auto" w:sz="4" w:space="0"/>
              <w:right w:val="single" w:color="auto" w:sz="4" w:space="0"/>
            </w:tcBorders>
            <w:vAlign w:val="center"/>
          </w:tcPr>
          <w:p w14:paraId="669C47ED">
            <w:pPr>
              <w:pageBreakBefore w:val="0"/>
              <w:kinsoku/>
              <w:wordWrap/>
              <w:overflowPunct/>
              <w:topLinePunct w:val="0"/>
              <w:bidi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编制</w:t>
            </w:r>
          </w:p>
        </w:tc>
      </w:tr>
      <w:tr w14:paraId="2BD33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73CEEC9">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50" w:type="dxa"/>
            <w:tcBorders>
              <w:top w:val="single" w:color="auto" w:sz="4" w:space="0"/>
              <w:left w:val="single" w:color="auto" w:sz="4" w:space="0"/>
              <w:bottom w:val="single" w:color="auto" w:sz="4" w:space="0"/>
              <w:right w:val="single" w:color="auto" w:sz="4" w:space="0"/>
            </w:tcBorders>
            <w:vAlign w:val="center"/>
          </w:tcPr>
          <w:p w14:paraId="2AFAD0E4">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项目经理</w:t>
            </w:r>
          </w:p>
        </w:tc>
        <w:tc>
          <w:tcPr>
            <w:tcW w:w="3187" w:type="dxa"/>
            <w:tcBorders>
              <w:top w:val="single" w:color="auto" w:sz="4" w:space="0"/>
              <w:left w:val="single" w:color="auto" w:sz="4" w:space="0"/>
              <w:bottom w:val="single" w:color="auto" w:sz="4" w:space="0"/>
              <w:right w:val="single" w:color="auto" w:sz="4" w:space="0"/>
            </w:tcBorders>
            <w:vAlign w:val="center"/>
          </w:tcPr>
          <w:p w14:paraId="76E1D12D">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14E6E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70EF7190">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50" w:type="dxa"/>
            <w:tcBorders>
              <w:top w:val="single" w:color="auto" w:sz="4" w:space="0"/>
              <w:left w:val="single" w:color="auto" w:sz="4" w:space="0"/>
              <w:bottom w:val="single" w:color="auto" w:sz="4" w:space="0"/>
              <w:right w:val="single" w:color="auto" w:sz="4" w:space="0"/>
            </w:tcBorders>
            <w:vAlign w:val="center"/>
          </w:tcPr>
          <w:p w14:paraId="654AA980">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队长（保安队长）</w:t>
            </w:r>
          </w:p>
        </w:tc>
        <w:tc>
          <w:tcPr>
            <w:tcW w:w="3187" w:type="dxa"/>
            <w:tcBorders>
              <w:top w:val="single" w:color="auto" w:sz="4" w:space="0"/>
              <w:left w:val="single" w:color="auto" w:sz="4" w:space="0"/>
              <w:bottom w:val="single" w:color="auto" w:sz="4" w:space="0"/>
              <w:right w:val="single" w:color="auto" w:sz="4" w:space="0"/>
            </w:tcBorders>
            <w:vAlign w:val="center"/>
          </w:tcPr>
          <w:p w14:paraId="1F47BBE9">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w:t>
            </w:r>
          </w:p>
        </w:tc>
      </w:tr>
      <w:tr w14:paraId="0C9F9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20718C34">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3050" w:type="dxa"/>
            <w:tcBorders>
              <w:top w:val="single" w:color="auto" w:sz="4" w:space="0"/>
              <w:left w:val="single" w:color="auto" w:sz="4" w:space="0"/>
              <w:bottom w:val="single" w:color="auto" w:sz="4" w:space="0"/>
              <w:right w:val="single" w:color="auto" w:sz="4" w:space="0"/>
            </w:tcBorders>
            <w:vAlign w:val="center"/>
          </w:tcPr>
          <w:p w14:paraId="103B3B4E">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秩序员（保安员）</w:t>
            </w:r>
          </w:p>
        </w:tc>
        <w:tc>
          <w:tcPr>
            <w:tcW w:w="3187" w:type="dxa"/>
            <w:tcBorders>
              <w:top w:val="single" w:color="auto" w:sz="4" w:space="0"/>
              <w:left w:val="single" w:color="auto" w:sz="4" w:space="0"/>
              <w:bottom w:val="single" w:color="auto" w:sz="4" w:space="0"/>
              <w:right w:val="single" w:color="auto" w:sz="4" w:space="0"/>
            </w:tcBorders>
            <w:vAlign w:val="center"/>
          </w:tcPr>
          <w:p w14:paraId="50229EE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3人</w:t>
            </w:r>
          </w:p>
        </w:tc>
      </w:tr>
      <w:tr w14:paraId="1916C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3339CBF">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3050" w:type="dxa"/>
            <w:tcBorders>
              <w:top w:val="single" w:color="auto" w:sz="4" w:space="0"/>
              <w:left w:val="single" w:color="auto" w:sz="4" w:space="0"/>
              <w:bottom w:val="single" w:color="auto" w:sz="4" w:space="0"/>
              <w:right w:val="single" w:color="auto" w:sz="4" w:space="0"/>
            </w:tcBorders>
            <w:vAlign w:val="center"/>
          </w:tcPr>
          <w:p w14:paraId="4C9CECFE">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消防监控员及水电工</w:t>
            </w:r>
          </w:p>
        </w:tc>
        <w:tc>
          <w:tcPr>
            <w:tcW w:w="3187" w:type="dxa"/>
            <w:tcBorders>
              <w:top w:val="single" w:color="auto" w:sz="4" w:space="0"/>
              <w:left w:val="single" w:color="auto" w:sz="4" w:space="0"/>
              <w:bottom w:val="single" w:color="auto" w:sz="4" w:space="0"/>
              <w:right w:val="single" w:color="auto" w:sz="4" w:space="0"/>
            </w:tcBorders>
            <w:vAlign w:val="center"/>
          </w:tcPr>
          <w:p w14:paraId="09EDB7AD">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rPr>
              <w:t>人</w:t>
            </w:r>
          </w:p>
        </w:tc>
      </w:tr>
      <w:tr w14:paraId="43855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581" w:type="dxa"/>
            <w:tcBorders>
              <w:top w:val="single" w:color="auto" w:sz="4" w:space="0"/>
              <w:left w:val="single" w:color="auto" w:sz="4" w:space="0"/>
              <w:bottom w:val="single" w:color="auto" w:sz="4" w:space="0"/>
              <w:right w:val="single" w:color="auto" w:sz="4" w:space="0"/>
            </w:tcBorders>
            <w:vAlign w:val="center"/>
          </w:tcPr>
          <w:p w14:paraId="1E75FD59">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3050" w:type="dxa"/>
            <w:tcBorders>
              <w:top w:val="single" w:color="auto" w:sz="4" w:space="0"/>
              <w:left w:val="single" w:color="auto" w:sz="4" w:space="0"/>
              <w:bottom w:val="single" w:color="auto" w:sz="4" w:space="0"/>
              <w:right w:val="single" w:color="auto" w:sz="4" w:space="0"/>
            </w:tcBorders>
            <w:vAlign w:val="center"/>
          </w:tcPr>
          <w:p w14:paraId="1D0EA3FD">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保洁绿化员</w:t>
            </w:r>
          </w:p>
        </w:tc>
        <w:tc>
          <w:tcPr>
            <w:tcW w:w="3187" w:type="dxa"/>
            <w:tcBorders>
              <w:top w:val="single" w:color="auto" w:sz="4" w:space="0"/>
              <w:left w:val="single" w:color="auto" w:sz="4" w:space="0"/>
              <w:bottom w:val="single" w:color="auto" w:sz="4" w:space="0"/>
              <w:right w:val="single" w:color="auto" w:sz="4" w:space="0"/>
            </w:tcBorders>
            <w:vAlign w:val="center"/>
          </w:tcPr>
          <w:p w14:paraId="2308702A">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人</w:t>
            </w:r>
          </w:p>
        </w:tc>
      </w:tr>
      <w:tr w14:paraId="335FA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4631" w:type="dxa"/>
            <w:gridSpan w:val="2"/>
            <w:tcBorders>
              <w:top w:val="single" w:color="auto" w:sz="4" w:space="0"/>
              <w:left w:val="single" w:color="auto" w:sz="4" w:space="0"/>
              <w:bottom w:val="single" w:color="auto" w:sz="4" w:space="0"/>
              <w:right w:val="single" w:color="auto" w:sz="4" w:space="0"/>
            </w:tcBorders>
            <w:vAlign w:val="center"/>
          </w:tcPr>
          <w:p w14:paraId="033E0BA9">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187" w:type="dxa"/>
            <w:tcBorders>
              <w:top w:val="single" w:color="auto" w:sz="4" w:space="0"/>
              <w:left w:val="single" w:color="auto" w:sz="4" w:space="0"/>
              <w:bottom w:val="single" w:color="auto" w:sz="4" w:space="0"/>
              <w:right w:val="single" w:color="auto" w:sz="4" w:space="0"/>
            </w:tcBorders>
            <w:vAlign w:val="center"/>
          </w:tcPr>
          <w:p w14:paraId="669F90D7">
            <w:pPr>
              <w:pageBreakBefore w:val="0"/>
              <w:kinsoku/>
              <w:wordWrap/>
              <w:overflowPunct/>
              <w:topLinePunct w:val="0"/>
              <w:bidi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人</w:t>
            </w:r>
          </w:p>
        </w:tc>
      </w:tr>
    </w:tbl>
    <w:p w14:paraId="1F47CC43">
      <w:pPr>
        <w:pageBreakBefore w:val="0"/>
        <w:numPr>
          <w:ilvl w:val="0"/>
          <w:numId w:val="0"/>
        </w:numPr>
        <w:kinsoku/>
        <w:wordWrap/>
        <w:overflowPunct/>
        <w:topLinePunct w:val="0"/>
        <w:bidi w:val="0"/>
        <w:spacing w:line="400" w:lineRule="exact"/>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val="en-US" w:eastAsia="zh-CN"/>
        </w:rPr>
        <w:t>10.2</w:t>
      </w:r>
      <w:r>
        <w:rPr>
          <w:rFonts w:hint="eastAsia" w:ascii="宋体" w:hAnsi="宋体" w:cs="宋体"/>
          <w:b/>
          <w:bCs/>
          <w:color w:val="auto"/>
          <w:sz w:val="21"/>
          <w:szCs w:val="21"/>
          <w:highlight w:val="none"/>
          <w:lang w:eastAsia="zh-CN"/>
        </w:rPr>
        <w:t>人员配置要求</w:t>
      </w:r>
    </w:p>
    <w:p w14:paraId="07AE64A5">
      <w:pPr>
        <w:pageBreakBefore w:val="0"/>
        <w:numPr>
          <w:ilvl w:val="0"/>
          <w:numId w:val="0"/>
        </w:numPr>
        <w:kinsoku/>
        <w:wordWrap/>
        <w:overflowPunct/>
        <w:topLinePunct w:val="0"/>
        <w:bidi w:val="0"/>
        <w:spacing w:line="400" w:lineRule="exact"/>
        <w:textAlignment w:val="auto"/>
        <w:rPr>
          <w:rFonts w:hint="eastAsia" w:ascii="宋体" w:hAnsi="宋体" w:eastAsia="宋体" w:cs="宋体"/>
          <w:b/>
          <w:color w:val="auto"/>
          <w:sz w:val="21"/>
          <w:szCs w:val="21"/>
          <w:highlight w:val="none"/>
        </w:rPr>
      </w:pPr>
      <w:r>
        <w:rPr>
          <w:rFonts w:hint="eastAsia" w:ascii="宋体" w:hAnsi="宋体" w:cs="宋体"/>
          <w:color w:val="auto"/>
          <w:sz w:val="21"/>
          <w:szCs w:val="21"/>
          <w:highlight w:val="none"/>
          <w:lang w:val="en-US" w:eastAsia="zh-CN"/>
        </w:rPr>
        <w:t xml:space="preserve">    随着小区入住率的增加，根据实际需求增加人员，确保小区管理到位。</w:t>
      </w:r>
    </w:p>
    <w:p w14:paraId="20B69DF4">
      <w:pPr>
        <w:pageBreakBefore w:val="0"/>
        <w:kinsoku/>
        <w:wordWrap/>
        <w:overflowPunct/>
        <w:topLinePunct w:val="0"/>
        <w:bidi w:val="0"/>
        <w:spacing w:line="400" w:lineRule="exact"/>
        <w:ind w:firstLine="422" w:firstLineChars="200"/>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10.3</w:t>
      </w:r>
      <w:r>
        <w:rPr>
          <w:rFonts w:hint="eastAsia" w:ascii="宋体" w:hAnsi="宋体" w:eastAsia="宋体" w:cs="宋体"/>
          <w:b/>
          <w:color w:val="auto"/>
          <w:sz w:val="21"/>
          <w:szCs w:val="21"/>
          <w:highlight w:val="none"/>
        </w:rPr>
        <w:t>人员素质要求</w:t>
      </w:r>
    </w:p>
    <w:p w14:paraId="68699CDD">
      <w:pPr>
        <w:pageBreakBefore w:val="0"/>
        <w:kinsoku/>
        <w:wordWrap/>
        <w:overflowPunct/>
        <w:topLinePunct w:val="0"/>
        <w:bidi w:val="0"/>
        <w:spacing w:line="400" w:lineRule="exact"/>
        <w:ind w:firstLine="420" w:firstLineChars="200"/>
        <w:textAlignment w:val="auto"/>
        <w:rPr>
          <w:rFonts w:hint="eastAsia" w:ascii="宋体" w:hAnsi="宋体" w:eastAsia="宋体" w:cs="宋体"/>
          <w:b/>
          <w:color w:val="auto"/>
          <w:sz w:val="21"/>
          <w:szCs w:val="21"/>
          <w:highlight w:val="none"/>
          <w:lang w:eastAsia="zh-CN"/>
        </w:rPr>
      </w:pPr>
      <w:r>
        <w:rPr>
          <w:rFonts w:hint="eastAsia" w:ascii="微软雅黑" w:hAnsi="微软雅黑" w:eastAsia="微软雅黑" w:cs="微软雅黑"/>
          <w:b/>
          <w:color w:val="auto"/>
          <w:sz w:val="21"/>
          <w:szCs w:val="21"/>
          <w:highlight w:val="none"/>
        </w:rPr>
        <w:t>①</w:t>
      </w:r>
      <w:r>
        <w:rPr>
          <w:rFonts w:hint="eastAsia" w:ascii="宋体" w:hAnsi="宋体" w:eastAsia="宋体" w:cs="宋体"/>
          <w:b/>
          <w:color w:val="auto"/>
          <w:sz w:val="21"/>
          <w:szCs w:val="21"/>
          <w:highlight w:val="none"/>
        </w:rPr>
        <w:t>项目</w:t>
      </w:r>
      <w:r>
        <w:rPr>
          <w:rFonts w:hint="eastAsia" w:ascii="宋体" w:hAnsi="宋体" w:eastAsia="宋体" w:cs="宋体"/>
          <w:b/>
          <w:color w:val="auto"/>
          <w:sz w:val="21"/>
          <w:szCs w:val="21"/>
          <w:highlight w:val="none"/>
          <w:lang w:eastAsia="zh-CN"/>
        </w:rPr>
        <w:t>经理</w:t>
      </w:r>
    </w:p>
    <w:p w14:paraId="1BE1C87A">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大学专科以上文化程度，</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年以上物业管理经验；具有较强的组织和领导能力，熟悉物业管理法律法规。</w:t>
      </w:r>
    </w:p>
    <w:p w14:paraId="43EF608F">
      <w:pPr>
        <w:pageBreakBefore w:val="0"/>
        <w:kinsoku/>
        <w:wordWrap/>
        <w:overflowPunct/>
        <w:topLinePunct w:val="0"/>
        <w:bidi w:val="0"/>
        <w:spacing w:line="400" w:lineRule="exact"/>
        <w:ind w:firstLine="450" w:firstLineChars="214"/>
        <w:textAlignment w:val="auto"/>
        <w:rPr>
          <w:rFonts w:hint="eastAsia" w:ascii="宋体" w:hAnsi="宋体" w:eastAsia="宋体" w:cs="宋体"/>
          <w:b/>
          <w:color w:val="auto"/>
          <w:sz w:val="21"/>
          <w:szCs w:val="21"/>
          <w:highlight w:val="none"/>
        </w:rPr>
      </w:pPr>
      <w:r>
        <w:rPr>
          <w:rFonts w:hint="eastAsia" w:ascii="微软雅黑" w:hAnsi="微软雅黑" w:eastAsia="微软雅黑" w:cs="微软雅黑"/>
          <w:b/>
          <w:color w:val="auto"/>
          <w:sz w:val="21"/>
          <w:szCs w:val="21"/>
          <w:highlight w:val="none"/>
        </w:rPr>
        <w:t>②</w:t>
      </w:r>
      <w:r>
        <w:rPr>
          <w:rFonts w:hint="eastAsia" w:ascii="宋体" w:hAnsi="宋体" w:eastAsia="宋体" w:cs="宋体"/>
          <w:b/>
          <w:color w:val="auto"/>
          <w:sz w:val="21"/>
          <w:szCs w:val="21"/>
          <w:highlight w:val="none"/>
        </w:rPr>
        <w:t>工程维修人员（水电工）</w:t>
      </w:r>
    </w:p>
    <w:p w14:paraId="59A6583D">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中专以上文化程度，电气或机械设备专业毕业，持有电工证；</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年以上配电工程经验或配电系统维护经验，熟悉变配电、建筑电气维修养护专业管理工作经验，给排水维修保养方面有较丰富经验；有一定的协调能力。</w:t>
      </w:r>
    </w:p>
    <w:p w14:paraId="3A934CA7">
      <w:pPr>
        <w:pageBreakBefore w:val="0"/>
        <w:kinsoku/>
        <w:wordWrap/>
        <w:overflowPunct/>
        <w:topLinePunct w:val="0"/>
        <w:bidi w:val="0"/>
        <w:spacing w:line="400" w:lineRule="exact"/>
        <w:ind w:firstLine="450" w:firstLineChars="214"/>
        <w:textAlignment w:val="auto"/>
        <w:rPr>
          <w:rFonts w:hint="eastAsia" w:ascii="宋体" w:hAnsi="宋体" w:eastAsia="宋体" w:cs="宋体"/>
          <w:b/>
          <w:color w:val="auto"/>
          <w:sz w:val="21"/>
          <w:szCs w:val="21"/>
          <w:highlight w:val="none"/>
        </w:rPr>
      </w:pPr>
      <w:r>
        <w:rPr>
          <w:rFonts w:hint="eastAsia" w:ascii="微软雅黑" w:hAnsi="微软雅黑" w:eastAsia="微软雅黑" w:cs="微软雅黑"/>
          <w:b/>
          <w:color w:val="auto"/>
          <w:sz w:val="21"/>
          <w:szCs w:val="21"/>
          <w:highlight w:val="none"/>
        </w:rPr>
        <w:t>③</w:t>
      </w:r>
      <w:r>
        <w:rPr>
          <w:rFonts w:hint="eastAsia" w:ascii="宋体" w:hAnsi="宋体" w:eastAsia="宋体" w:cs="宋体"/>
          <w:b/>
          <w:color w:val="auto"/>
          <w:sz w:val="21"/>
          <w:szCs w:val="21"/>
          <w:highlight w:val="none"/>
        </w:rPr>
        <w:t>消防监控员</w:t>
      </w:r>
    </w:p>
    <w:p w14:paraId="6931A5B0">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中专以上文化程度；工作认真负责，吃苦耐劳，熟悉各类消防及监控设施设备的工作流程和规范，有较强的消防专业能力。</w:t>
      </w:r>
    </w:p>
    <w:p w14:paraId="3E972911">
      <w:pPr>
        <w:pageBreakBefore w:val="0"/>
        <w:kinsoku/>
        <w:wordWrap/>
        <w:overflowPunct/>
        <w:topLinePunct w:val="0"/>
        <w:bidi w:val="0"/>
        <w:spacing w:line="400" w:lineRule="exact"/>
        <w:ind w:firstLine="450" w:firstLineChars="214"/>
        <w:textAlignment w:val="auto"/>
        <w:rPr>
          <w:rFonts w:hint="eastAsia" w:ascii="宋体" w:hAnsi="宋体" w:eastAsia="宋体" w:cs="宋体"/>
          <w:b/>
          <w:color w:val="auto"/>
          <w:sz w:val="21"/>
          <w:szCs w:val="21"/>
          <w:highlight w:val="none"/>
        </w:rPr>
      </w:pPr>
      <w:r>
        <w:rPr>
          <w:rFonts w:hint="eastAsia" w:ascii="微软雅黑" w:hAnsi="微软雅黑" w:eastAsia="微软雅黑" w:cs="微软雅黑"/>
          <w:b/>
          <w:color w:val="auto"/>
          <w:sz w:val="21"/>
          <w:szCs w:val="21"/>
          <w:highlight w:val="none"/>
        </w:rPr>
        <w:t>④</w:t>
      </w:r>
      <w:r>
        <w:rPr>
          <w:rFonts w:hint="eastAsia" w:ascii="宋体" w:hAnsi="宋体" w:eastAsia="宋体" w:cs="宋体"/>
          <w:b/>
          <w:color w:val="auto"/>
          <w:sz w:val="21"/>
          <w:szCs w:val="21"/>
          <w:highlight w:val="none"/>
        </w:rPr>
        <w:t>秩序维护员</w:t>
      </w:r>
    </w:p>
    <w:p w14:paraId="28FF43C9">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初中以上文化程度，接受过系统的治安管理培训；政治素质高，反应灵敏，形象较好。</w:t>
      </w:r>
    </w:p>
    <w:p w14:paraId="43DB4B5B">
      <w:pPr>
        <w:pageBreakBefore w:val="0"/>
        <w:kinsoku/>
        <w:wordWrap/>
        <w:overflowPunct/>
        <w:topLinePunct w:val="0"/>
        <w:bidi w:val="0"/>
        <w:spacing w:line="400" w:lineRule="exact"/>
        <w:ind w:firstLine="450" w:firstLineChars="214"/>
        <w:textAlignment w:val="auto"/>
        <w:rPr>
          <w:rFonts w:hint="eastAsia" w:ascii="宋体" w:hAnsi="宋体" w:eastAsia="宋体" w:cs="宋体"/>
          <w:b/>
          <w:color w:val="auto"/>
          <w:sz w:val="21"/>
          <w:szCs w:val="21"/>
          <w:highlight w:val="none"/>
        </w:rPr>
      </w:pPr>
      <w:r>
        <w:rPr>
          <w:rFonts w:hint="eastAsia" w:ascii="微软雅黑" w:hAnsi="微软雅黑" w:eastAsia="微软雅黑" w:cs="微软雅黑"/>
          <w:b/>
          <w:color w:val="auto"/>
          <w:sz w:val="21"/>
          <w:szCs w:val="21"/>
          <w:highlight w:val="none"/>
        </w:rPr>
        <w:t>⑤</w:t>
      </w:r>
      <w:r>
        <w:rPr>
          <w:rFonts w:hint="eastAsia" w:ascii="宋体" w:hAnsi="宋体" w:eastAsia="宋体" w:cs="宋体"/>
          <w:b/>
          <w:color w:val="auto"/>
          <w:sz w:val="21"/>
          <w:szCs w:val="21"/>
          <w:highlight w:val="none"/>
        </w:rPr>
        <w:t xml:space="preserve">绿化员 </w:t>
      </w:r>
    </w:p>
    <w:p w14:paraId="317B6EE5">
      <w:pPr>
        <w:pageBreakBefore w:val="0"/>
        <w:kinsoku/>
        <w:wordWrap/>
        <w:overflowPunct/>
        <w:topLinePunct w:val="0"/>
        <w:bidi w:val="0"/>
        <w:spacing w:line="400" w:lineRule="exact"/>
        <w:ind w:firstLine="449" w:firstLineChars="214"/>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初中以上文化程度；从事绿化管理工作2年以上；能够进行各种绿化养护操作，能够使用和维护各种绿化设备；工作认真严谨，有责任心，能吃苦。</w:t>
      </w:r>
    </w:p>
    <w:p w14:paraId="093CD00C">
      <w:pPr>
        <w:pageBreakBefore w:val="0"/>
        <w:kinsoku/>
        <w:wordWrap/>
        <w:overflowPunct/>
        <w:topLinePunct w:val="0"/>
        <w:bidi w:val="0"/>
        <w:spacing w:line="400" w:lineRule="exact"/>
        <w:ind w:firstLine="450" w:firstLineChars="214"/>
        <w:textAlignment w:val="auto"/>
        <w:rPr>
          <w:rFonts w:hint="eastAsia" w:ascii="宋体" w:hAnsi="宋体" w:eastAsia="宋体" w:cs="宋体"/>
          <w:b/>
          <w:color w:val="auto"/>
          <w:sz w:val="21"/>
          <w:szCs w:val="21"/>
          <w:highlight w:val="none"/>
        </w:rPr>
      </w:pPr>
      <w:r>
        <w:rPr>
          <w:rFonts w:hint="eastAsia" w:ascii="微软雅黑" w:hAnsi="微软雅黑" w:eastAsia="微软雅黑" w:cs="微软雅黑"/>
          <w:b/>
          <w:color w:val="auto"/>
          <w:sz w:val="21"/>
          <w:szCs w:val="21"/>
          <w:highlight w:val="none"/>
        </w:rPr>
        <w:t>⑥</w:t>
      </w:r>
      <w:r>
        <w:rPr>
          <w:rFonts w:hint="eastAsia" w:ascii="宋体" w:hAnsi="宋体" w:eastAsia="宋体" w:cs="宋体"/>
          <w:b/>
          <w:color w:val="auto"/>
          <w:sz w:val="21"/>
          <w:szCs w:val="21"/>
          <w:highlight w:val="none"/>
        </w:rPr>
        <w:t>保洁人员</w:t>
      </w:r>
    </w:p>
    <w:p w14:paraId="5D265CE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初中以上文化程度；工作认真负责</w:t>
      </w:r>
      <w:r>
        <w:rPr>
          <w:rFonts w:hint="eastAsia" w:ascii="宋体" w:hAnsi="宋体" w:eastAsia="宋体" w:cs="宋体"/>
          <w:color w:val="auto"/>
          <w:sz w:val="21"/>
          <w:szCs w:val="21"/>
          <w:highlight w:val="none"/>
          <w:lang w:eastAsia="zh-CN"/>
        </w:rPr>
        <w:t>、工作态度好、</w:t>
      </w:r>
      <w:r>
        <w:rPr>
          <w:rFonts w:hint="eastAsia" w:ascii="宋体" w:hAnsi="宋体" w:eastAsia="宋体" w:cs="宋体"/>
          <w:color w:val="auto"/>
          <w:sz w:val="21"/>
          <w:szCs w:val="21"/>
          <w:highlight w:val="none"/>
        </w:rPr>
        <w:t>任劳任怨；1年以上环卫或有宾馆清洁工作经验。</w:t>
      </w:r>
    </w:p>
    <w:p w14:paraId="1C7AA208">
      <w:pPr>
        <w:pageBreakBefore w:val="0"/>
        <w:kinsoku/>
        <w:wordWrap/>
        <w:overflowPunct/>
        <w:topLinePunct w:val="0"/>
        <w:bidi w:val="0"/>
        <w:spacing w:line="400" w:lineRule="exact"/>
        <w:ind w:firstLine="316" w:firstLineChars="150"/>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10.4</w:t>
      </w:r>
      <w:r>
        <w:rPr>
          <w:rFonts w:hint="eastAsia" w:ascii="宋体" w:hAnsi="宋体" w:eastAsia="宋体" w:cs="宋体"/>
          <w:b/>
          <w:color w:val="auto"/>
          <w:sz w:val="21"/>
          <w:szCs w:val="21"/>
          <w:highlight w:val="none"/>
        </w:rPr>
        <w:t>服务工作标准</w:t>
      </w:r>
    </w:p>
    <w:p w14:paraId="01234C05">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微软雅黑" w:hAnsi="微软雅黑" w:eastAsia="微软雅黑" w:cs="微软雅黑"/>
          <w:color w:val="auto"/>
          <w:sz w:val="21"/>
          <w:szCs w:val="21"/>
          <w:highlight w:val="none"/>
        </w:rPr>
        <w:t>①</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应树立“业主至上，服务第一”的思想，为采购人创造一个安全、宁静、整洁、优雅的办公环境；</w:t>
      </w:r>
    </w:p>
    <w:p w14:paraId="47B30E07">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微软雅黑" w:hAnsi="微软雅黑" w:eastAsia="微软雅黑" w:cs="微软雅黑"/>
          <w:color w:val="auto"/>
          <w:sz w:val="21"/>
          <w:szCs w:val="21"/>
          <w:highlight w:val="none"/>
        </w:rPr>
        <w:t>②</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应为采购人提供礼貌、热情、周到的服务，最大限度地满足采购人的服务要求；</w:t>
      </w:r>
    </w:p>
    <w:p w14:paraId="653591E1">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pacing w:val="-4"/>
          <w:sz w:val="21"/>
          <w:szCs w:val="21"/>
          <w:highlight w:val="none"/>
        </w:rPr>
      </w:pPr>
      <w:r>
        <w:rPr>
          <w:rFonts w:hint="eastAsia" w:ascii="微软雅黑" w:hAnsi="微软雅黑" w:eastAsia="微软雅黑" w:cs="微软雅黑"/>
          <w:color w:val="auto"/>
          <w:sz w:val="21"/>
          <w:szCs w:val="21"/>
          <w:highlight w:val="none"/>
        </w:rPr>
        <w:t>③</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pacing w:val="-4"/>
          <w:sz w:val="21"/>
          <w:szCs w:val="21"/>
          <w:highlight w:val="none"/>
        </w:rPr>
        <w:t>应主动、积极地加强与采购人的联系，多途径、多渠道征询和听取意见，不断改进工作；</w:t>
      </w:r>
    </w:p>
    <w:p w14:paraId="6A09A134">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微软雅黑" w:hAnsi="微软雅黑" w:eastAsia="微软雅黑" w:cs="微软雅黑"/>
          <w:color w:val="auto"/>
          <w:sz w:val="21"/>
          <w:szCs w:val="21"/>
          <w:highlight w:val="none"/>
        </w:rPr>
        <w:t>④</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应大力推行创优质服务，优质管理的活动，使采购人对营运服务的满意率达到98%以上，并负责使管理的物业保值、增值；</w:t>
      </w:r>
    </w:p>
    <w:p w14:paraId="7F6FE9D8">
      <w:pPr>
        <w:pageBreakBefore w:val="0"/>
        <w:kinsoku/>
        <w:wordWrap/>
        <w:overflowPunct/>
        <w:topLinePunct w:val="0"/>
        <w:bidi w:val="0"/>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微软雅黑" w:hAnsi="微软雅黑" w:eastAsia="微软雅黑" w:cs="微软雅黑"/>
          <w:color w:val="auto"/>
          <w:sz w:val="21"/>
          <w:szCs w:val="21"/>
          <w:highlight w:val="none"/>
        </w:rPr>
        <w:t>⑤</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应加强保密教育，严格遵守保密规定；</w:t>
      </w:r>
    </w:p>
    <w:p w14:paraId="799A4452">
      <w:pPr>
        <w:ind w:firstLine="420" w:firstLineChars="200"/>
        <w:rPr>
          <w:color w:val="auto"/>
          <w:highlight w:val="none"/>
        </w:rPr>
      </w:pPr>
      <w:r>
        <w:rPr>
          <w:rFonts w:hint="eastAsia" w:ascii="微软雅黑" w:hAnsi="微软雅黑" w:eastAsia="微软雅黑" w:cs="微软雅黑"/>
          <w:color w:val="auto"/>
          <w:sz w:val="21"/>
          <w:szCs w:val="21"/>
          <w:highlight w:val="none"/>
        </w:rPr>
        <w:t>⑥</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应积极为采购人提供其他特殊项目的服务。</w:t>
      </w:r>
    </w:p>
    <w:p w14:paraId="1F29031E">
      <w:pPr>
        <w:pageBreakBefore w:val="0"/>
        <w:kinsoku/>
        <w:overflowPunct/>
        <w:topLinePunct w:val="0"/>
        <w:bidi w:val="0"/>
        <w:spacing w:line="360" w:lineRule="auto"/>
        <w:rPr>
          <w:rFonts w:hint="default" w:ascii="宋体" w:hAnsi="宋体" w:eastAsia="宋体" w:cs="宋体"/>
          <w:b/>
          <w:color w:val="auto"/>
          <w:sz w:val="21"/>
          <w:szCs w:val="21"/>
          <w:highlight w:val="none"/>
          <w:lang w:val="en-US" w:eastAsia="zh-CN"/>
        </w:rPr>
      </w:pPr>
    </w:p>
    <w:p w14:paraId="401E70D8">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第三条　交付和验收</w:t>
      </w:r>
    </w:p>
    <w:p w14:paraId="435C98D7">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1.服务开始时间：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2BB09C9C">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2.服务地点：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7B7843FA">
      <w:pPr>
        <w:pageBreakBefore w:val="0"/>
        <w:kinsoku/>
        <w:overflowPunct/>
        <w:topLinePunct w:val="0"/>
        <w:bidi w:val="0"/>
        <w:snapToGrid w:val="0"/>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3.验收方式：</w:t>
      </w:r>
      <w:r>
        <w:rPr>
          <w:rFonts w:hint="eastAsia" w:ascii="宋体" w:hAnsi="宋体" w:eastAsia="宋体" w:cs="宋体"/>
          <w:b w:val="0"/>
          <w:bCs w:val="0"/>
          <w:color w:val="auto"/>
          <w:sz w:val="21"/>
          <w:szCs w:val="21"/>
          <w:highlight w:val="none"/>
          <w:lang w:val="en-US" w:eastAsia="zh-CN"/>
        </w:rPr>
        <w:t xml:space="preserve">                   </w:t>
      </w:r>
    </w:p>
    <w:p w14:paraId="6D611A0C">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第四条  付款方式</w:t>
      </w:r>
    </w:p>
    <w:p w14:paraId="639D7439">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1.资金性质：</w:t>
      </w:r>
      <w:r>
        <w:rPr>
          <w:rFonts w:hint="eastAsia" w:ascii="宋体" w:hAnsi="宋体" w:eastAsia="宋体" w:cs="宋体"/>
          <w:color w:val="auto"/>
          <w:sz w:val="21"/>
          <w:szCs w:val="21"/>
          <w:highlight w:val="none"/>
          <w:u w:val="single"/>
        </w:rPr>
        <w:t xml:space="preserve">                       。</w:t>
      </w:r>
    </w:p>
    <w:p w14:paraId="6DB659A9">
      <w:pPr>
        <w:pageBreakBefore w:val="0"/>
        <w:kinsoku/>
        <w:overflowPunct/>
        <w:topLinePunct w:val="0"/>
        <w:bidi w:val="0"/>
        <w:snapToGrid w:val="0"/>
        <w:spacing w:line="360" w:lineRule="auto"/>
        <w:ind w:right="33"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2.付款方式：</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4BC21276">
      <w:pPr>
        <w:pageBreakBefore w:val="0"/>
        <w:tabs>
          <w:tab w:val="right" w:pos="9639"/>
        </w:tabs>
        <w:kinsoku/>
        <w:overflowPunct/>
        <w:topLinePunct w:val="0"/>
        <w:bidi w:val="0"/>
        <w:snapToGrid w:val="0"/>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b w:val="0"/>
          <w:bCs/>
          <w:color w:val="auto"/>
          <w:sz w:val="21"/>
          <w:szCs w:val="21"/>
          <w:highlight w:val="none"/>
        </w:rPr>
        <w:t>第五条　履约保证金</w:t>
      </w:r>
      <w:r>
        <w:rPr>
          <w:rFonts w:hint="eastAsia" w:ascii="宋体" w:hAnsi="宋体" w:eastAsia="宋体" w:cs="宋体"/>
          <w:b/>
          <w:color w:val="auto"/>
          <w:sz w:val="21"/>
          <w:szCs w:val="21"/>
          <w:highlight w:val="none"/>
        </w:rPr>
        <w:tab/>
      </w:r>
    </w:p>
    <w:p w14:paraId="4420B5D9">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1.履约保证金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2EC83CD1">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签订合同后，乙方按合同履约的，履约保证金在服务期满后五个工作日内由采购人如数退还（不计利息）。如乙方不按双方签订的合同规定履约，履约保证金按有关法规处理，履约保证金不足以赔偿损失的，按实际损失赔偿。服务期满后乙方及时与甲方办理退还履约保证金手续，并提供履约保证金缴款凭据（复印件）及本单位开户银行及账号后，甲方以电汇或转账方式退还履约保证金。乙方不及时办理退还履约保证金手续所造成的一切后果，由乙方自己承担。</w:t>
      </w:r>
    </w:p>
    <w:p w14:paraId="56B9A792">
      <w:pPr>
        <w:pageBreakBefore w:val="0"/>
        <w:kinsoku/>
        <w:overflowPunct/>
        <w:topLinePunct w:val="0"/>
        <w:bidi w:val="0"/>
        <w:snapToGrid w:val="0"/>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b w:val="0"/>
          <w:bCs/>
          <w:color w:val="auto"/>
          <w:sz w:val="21"/>
          <w:szCs w:val="21"/>
          <w:highlight w:val="none"/>
        </w:rPr>
        <w:t>第六条 税费</w:t>
      </w:r>
      <w:r>
        <w:rPr>
          <w:rFonts w:hint="eastAsia" w:ascii="宋体" w:hAnsi="宋体" w:eastAsia="宋体" w:cs="宋体"/>
          <w:b/>
          <w:color w:val="auto"/>
          <w:sz w:val="21"/>
          <w:szCs w:val="21"/>
          <w:highlight w:val="none"/>
        </w:rPr>
        <w:t xml:space="preserve"> </w:t>
      </w:r>
    </w:p>
    <w:p w14:paraId="0E2FAB18">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本合同执行中相关的一切税费均由乙方负担。</w:t>
      </w:r>
    </w:p>
    <w:p w14:paraId="73447A37">
      <w:pPr>
        <w:pStyle w:val="12"/>
        <w:pageBreakBefore w:val="0"/>
        <w:kinsoku/>
        <w:overflowPunct/>
        <w:topLinePunct w:val="0"/>
        <w:bidi w:val="0"/>
        <w:snapToGrid w:val="0"/>
        <w:spacing w:before="120" w:after="120" w:line="360" w:lineRule="auto"/>
        <w:ind w:firstLine="411" w:firstLineChars="196"/>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rPr>
        <w:t>第七条</w:t>
      </w:r>
      <w:r>
        <w:rPr>
          <w:rFonts w:hint="eastAsia" w:ascii="宋体" w:hAnsi="宋体" w:eastAsia="宋体" w:cs="宋体"/>
          <w:b w:val="0"/>
          <w:bCs/>
          <w:color w:val="auto"/>
          <w:kern w:val="2"/>
          <w:sz w:val="21"/>
          <w:szCs w:val="21"/>
          <w:highlight w:val="none"/>
          <w:lang w:val="en-US" w:eastAsia="zh-CN"/>
        </w:rPr>
        <w:t xml:space="preserve"> </w:t>
      </w:r>
      <w:r>
        <w:rPr>
          <w:rFonts w:hint="eastAsia" w:ascii="宋体" w:hAnsi="宋体" w:eastAsia="宋体" w:cs="宋体"/>
          <w:b w:val="0"/>
          <w:bCs/>
          <w:color w:val="auto"/>
          <w:kern w:val="2"/>
          <w:sz w:val="21"/>
          <w:szCs w:val="21"/>
          <w:highlight w:val="none"/>
        </w:rPr>
        <w:t>违约责任</w:t>
      </w:r>
    </w:p>
    <w:p w14:paraId="4BAF3F70">
      <w:pPr>
        <w:pageBreakBefore w:val="0"/>
        <w:kinsoku/>
        <w:overflowPunct/>
        <w:topLinePunct w:val="0"/>
        <w:bidi w:val="0"/>
        <w:snapToGrid w:val="0"/>
        <w:spacing w:line="360" w:lineRule="auto"/>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1.合同一方违约，违约方向对方支付违约金，违约金额为成交金额的3‰。乙方违约的，违约金按约定金额支付，采购人违约的，违约金从采购款中扣除，但违约金累计不得超过违约货款额</w:t>
      </w:r>
      <w:r>
        <w:rPr>
          <w:rFonts w:hint="eastAsia" w:ascii="宋体" w:hAnsi="宋体" w:eastAsia="宋体" w:cs="宋体"/>
          <w:color w:val="auto"/>
          <w:sz w:val="21"/>
          <w:szCs w:val="21"/>
          <w:highlight w:val="none"/>
          <w:u w:val="single"/>
        </w:rPr>
        <w:t>5%</w:t>
      </w:r>
      <w:r>
        <w:rPr>
          <w:rFonts w:hint="eastAsia" w:ascii="宋体" w:hAnsi="宋体" w:eastAsia="宋体" w:cs="宋体"/>
          <w:color w:val="auto"/>
          <w:sz w:val="21"/>
          <w:szCs w:val="21"/>
          <w:highlight w:val="none"/>
        </w:rPr>
        <w:t>。</w:t>
      </w:r>
    </w:p>
    <w:p w14:paraId="2A2D9570">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2.乙方给采购人造成的损失超过违约金额的，乙方应给采购人高出违约金的部分予以赔偿。</w:t>
      </w:r>
    </w:p>
    <w:p w14:paraId="03B1C3A0">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3.乙方延迟履约、不完全履约或提供的服务不符合谈判文件和响应文件要求的。除支付违约金外，仍需继续履行合同或重新提供符合要求的服务。</w:t>
      </w:r>
    </w:p>
    <w:p w14:paraId="55A9A5E1">
      <w:pPr>
        <w:pStyle w:val="12"/>
        <w:pageBreakBefore w:val="0"/>
        <w:kinsoku/>
        <w:overflowPunct/>
        <w:topLinePunct w:val="0"/>
        <w:bidi w:val="0"/>
        <w:snapToGrid w:val="0"/>
        <w:spacing w:before="120" w:after="120" w:line="360" w:lineRule="auto"/>
        <w:ind w:firstLine="411" w:firstLineChars="196"/>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rPr>
        <w:t>第八条 不可抗力事件处理</w:t>
      </w:r>
    </w:p>
    <w:p w14:paraId="36EDD21D">
      <w:pPr>
        <w:pStyle w:val="12"/>
        <w:pageBreakBefore w:val="0"/>
        <w:kinsoku/>
        <w:overflowPunct/>
        <w:topLinePunct w:val="0"/>
        <w:bidi w:val="0"/>
        <w:snapToGrid w:val="0"/>
        <w:spacing w:before="120" w:after="120" w:line="360" w:lineRule="auto"/>
        <w:ind w:firstLine="420" w:firstLineChars="20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 在合同有效期内，任何一方因不可抗力事件导致不能履行合同，则合同履行期可延长，其延长期与不可抗力影响期相同。</w:t>
      </w:r>
    </w:p>
    <w:p w14:paraId="1085F76D">
      <w:pPr>
        <w:pStyle w:val="12"/>
        <w:pageBreakBefore w:val="0"/>
        <w:kinsoku/>
        <w:overflowPunct/>
        <w:topLinePunct w:val="0"/>
        <w:bidi w:val="0"/>
        <w:snapToGrid w:val="0"/>
        <w:spacing w:before="120" w:after="120" w:line="360" w:lineRule="auto"/>
        <w:ind w:firstLine="420" w:firstLineChars="20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 不可抗力事件发生后，应立即通知对方，并寄送有关权威机构出具的证明。</w:t>
      </w:r>
    </w:p>
    <w:p w14:paraId="14B9C4CE">
      <w:pPr>
        <w:pStyle w:val="12"/>
        <w:pageBreakBefore w:val="0"/>
        <w:kinsoku/>
        <w:overflowPunct/>
        <w:topLinePunct w:val="0"/>
        <w:bidi w:val="0"/>
        <w:snapToGrid w:val="0"/>
        <w:spacing w:before="120" w:after="120" w:line="360" w:lineRule="auto"/>
        <w:ind w:firstLine="420" w:firstLineChars="20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 不可抗力事件延续一百二十天以上，双方应通过友好协商，确定是否继续履行合同。</w:t>
      </w:r>
    </w:p>
    <w:p w14:paraId="1331DBF6">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第九条  合同争议解决</w:t>
      </w:r>
    </w:p>
    <w:p w14:paraId="56161712">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1.因服务质量问题发生争议的，应邀请国家认可的质量检测机构对服务质量进行鉴定。服务符合标准或要求的，鉴定费由甲方承担；服务不符合标准或要求的，鉴定费由乙方承担。</w:t>
      </w:r>
    </w:p>
    <w:p w14:paraId="53BA17A5">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2.因履行本合同引起的或与本合同有关的争议，甲乙双方应首先通过友好协商解决，如果协商不能解决，可向仲裁委员会申请仲裁或向人民法院提起诉讼。</w:t>
      </w:r>
    </w:p>
    <w:p w14:paraId="197DDB56">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3.诉讼期间，本合同继续履行。</w:t>
      </w:r>
    </w:p>
    <w:p w14:paraId="4EAB9087">
      <w:pPr>
        <w:pStyle w:val="12"/>
        <w:pageBreakBefore w:val="0"/>
        <w:kinsoku/>
        <w:overflowPunct/>
        <w:topLinePunct w:val="0"/>
        <w:bidi w:val="0"/>
        <w:snapToGrid w:val="0"/>
        <w:spacing w:before="120" w:after="120" w:line="360" w:lineRule="auto"/>
        <w:ind w:firstLine="411" w:firstLineChars="196"/>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rPr>
        <w:t>第十条  诉讼</w:t>
      </w:r>
    </w:p>
    <w:p w14:paraId="777C0F71">
      <w:pPr>
        <w:pStyle w:val="12"/>
        <w:pageBreakBefore w:val="0"/>
        <w:kinsoku/>
        <w:overflowPunct/>
        <w:topLinePunct w:val="0"/>
        <w:bidi w:val="0"/>
        <w:snapToGrid w:val="0"/>
        <w:spacing w:before="120" w:after="120" w:line="360" w:lineRule="auto"/>
        <w:ind w:firstLine="420" w:firstLineChars="20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双方在执行合同中所发生的一切争议，应通过协商解决。如果协商不能解决，可向仲裁委员会申请仲裁或向人民法院提起诉讼。</w:t>
      </w:r>
    </w:p>
    <w:p w14:paraId="4877AAE2">
      <w:pPr>
        <w:pStyle w:val="12"/>
        <w:pageBreakBefore w:val="0"/>
        <w:kinsoku/>
        <w:overflowPunct/>
        <w:topLinePunct w:val="0"/>
        <w:bidi w:val="0"/>
        <w:snapToGrid w:val="0"/>
        <w:spacing w:before="120" w:after="120" w:line="360" w:lineRule="auto"/>
        <w:ind w:firstLine="411" w:firstLineChars="196"/>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rPr>
        <w:t>第十一条 合同生效及其它</w:t>
      </w:r>
    </w:p>
    <w:p w14:paraId="563A25DF">
      <w:pPr>
        <w:pStyle w:val="12"/>
        <w:pageBreakBefore w:val="0"/>
        <w:kinsoku/>
        <w:overflowPunct/>
        <w:topLinePunct w:val="0"/>
        <w:bidi w:val="0"/>
        <w:snapToGrid w:val="0"/>
        <w:spacing w:before="120" w:after="120" w:line="360" w:lineRule="auto"/>
        <w:ind w:left="561" w:leftChars="267"/>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1．合同经双方法定代表人或授权代表（委托代理人）签字并加盖单位公章后生效。</w:t>
      </w:r>
    </w:p>
    <w:p w14:paraId="035C08DE">
      <w:pPr>
        <w:pStyle w:val="12"/>
        <w:pageBreakBefore w:val="0"/>
        <w:kinsoku/>
        <w:overflowPunct/>
        <w:topLinePunct w:val="0"/>
        <w:bidi w:val="0"/>
        <w:snapToGrid w:val="0"/>
        <w:spacing w:before="120" w:after="120" w:line="360" w:lineRule="auto"/>
        <w:ind w:firstLine="535" w:firstLineChars="255"/>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2．合同执行中涉及采购资金和采购内容修改或补充的，</w:t>
      </w:r>
      <w:r>
        <w:rPr>
          <w:rFonts w:hint="eastAsia" w:ascii="宋体" w:hAnsi="宋体" w:eastAsia="宋体" w:cs="宋体"/>
          <w:color w:val="auto"/>
          <w:kern w:val="2"/>
          <w:sz w:val="21"/>
          <w:szCs w:val="21"/>
          <w:highlight w:val="none"/>
          <w:lang w:val="en-US" w:eastAsia="zh-CN"/>
        </w:rPr>
        <w:t>由甲乙双方协商</w:t>
      </w:r>
      <w:r>
        <w:rPr>
          <w:rFonts w:hint="eastAsia" w:ascii="宋体" w:hAnsi="宋体" w:eastAsia="宋体" w:cs="宋体"/>
          <w:color w:val="auto"/>
          <w:kern w:val="2"/>
          <w:sz w:val="21"/>
          <w:szCs w:val="21"/>
          <w:highlight w:val="none"/>
        </w:rPr>
        <w:t>并签书面补充协议，方可作为主合同不可分割的一部分。</w:t>
      </w:r>
    </w:p>
    <w:p w14:paraId="34532417">
      <w:pPr>
        <w:pStyle w:val="12"/>
        <w:pageBreakBefore w:val="0"/>
        <w:kinsoku/>
        <w:overflowPunct/>
        <w:topLinePunct w:val="0"/>
        <w:bidi w:val="0"/>
        <w:snapToGrid w:val="0"/>
        <w:spacing w:before="120" w:after="120" w:line="360" w:lineRule="auto"/>
        <w:ind w:left="561" w:leftChars="267"/>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3．本合同未尽事宜，遵照《中华人民共和国</w:t>
      </w:r>
      <w:r>
        <w:rPr>
          <w:rFonts w:hint="eastAsia" w:ascii="宋体" w:hAnsi="宋体" w:eastAsia="宋体" w:cs="宋体"/>
          <w:color w:val="auto"/>
          <w:kern w:val="2"/>
          <w:sz w:val="21"/>
          <w:szCs w:val="21"/>
          <w:highlight w:val="none"/>
          <w:lang w:eastAsia="zh-CN"/>
        </w:rPr>
        <w:t>民法典</w:t>
      </w:r>
      <w:r>
        <w:rPr>
          <w:rFonts w:hint="eastAsia" w:ascii="宋体" w:hAnsi="宋体" w:eastAsia="宋体" w:cs="宋体"/>
          <w:color w:val="auto"/>
          <w:kern w:val="2"/>
          <w:sz w:val="21"/>
          <w:szCs w:val="21"/>
          <w:highlight w:val="none"/>
        </w:rPr>
        <w:t>》有关条文执行。</w:t>
      </w:r>
    </w:p>
    <w:p w14:paraId="5FB4FFCC">
      <w:pPr>
        <w:pStyle w:val="12"/>
        <w:pageBreakBefore w:val="0"/>
        <w:kinsoku/>
        <w:overflowPunct/>
        <w:topLinePunct w:val="0"/>
        <w:bidi w:val="0"/>
        <w:snapToGrid w:val="0"/>
        <w:spacing w:before="120" w:after="120" w:line="360" w:lineRule="auto"/>
        <w:ind w:firstLine="411" w:firstLineChars="196"/>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rPr>
        <w:t>第十二条　合同的变更、终止与转让</w:t>
      </w:r>
    </w:p>
    <w:p w14:paraId="255F5456">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1.除《中华人民共和国政府采购法》第五十条规定的情形外，本合同一经签订，甲乙双方不得擅自变更、中止或终止。</w:t>
      </w:r>
    </w:p>
    <w:p w14:paraId="2BA27CD7">
      <w:pPr>
        <w:pStyle w:val="12"/>
        <w:pageBreakBefore w:val="0"/>
        <w:kinsoku/>
        <w:overflowPunct/>
        <w:topLinePunct w:val="0"/>
        <w:bidi w:val="0"/>
        <w:snapToGrid w:val="0"/>
        <w:spacing w:before="120" w:after="120" w:line="360" w:lineRule="auto"/>
        <w:ind w:firstLine="411" w:firstLineChars="196"/>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2.乙方不得擅自转让其应履行的合同义务。</w:t>
      </w:r>
    </w:p>
    <w:p w14:paraId="671C3DFC">
      <w:pPr>
        <w:pageBreakBefore w:val="0"/>
        <w:kinsoku/>
        <w:overflowPunct/>
        <w:topLinePunct w:val="0"/>
        <w:bidi w:val="0"/>
        <w:snapToGrid w:val="0"/>
        <w:spacing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第十三条　签订本合同依据</w:t>
      </w:r>
    </w:p>
    <w:p w14:paraId="5D74C4C5">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1.谈判文件；</w:t>
      </w:r>
    </w:p>
    <w:p w14:paraId="614836BD">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2.乙方提供的响应文件；</w:t>
      </w:r>
    </w:p>
    <w:p w14:paraId="11A66533">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3.谈判书； </w:t>
      </w:r>
    </w:p>
    <w:p w14:paraId="788960E0">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4.成交通知书。</w:t>
      </w:r>
    </w:p>
    <w:p w14:paraId="6BDF5D69">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 w:val="0"/>
          <w:bCs/>
          <w:color w:val="auto"/>
          <w:sz w:val="21"/>
          <w:szCs w:val="21"/>
          <w:highlight w:val="none"/>
        </w:rPr>
        <w:t>第十四条</w:t>
      </w:r>
      <w:r>
        <w:rPr>
          <w:rFonts w:hint="eastAsia" w:ascii="宋体" w:hAnsi="宋体" w:eastAsia="宋体" w:cs="宋体"/>
          <w:b/>
          <w:color w:val="auto"/>
          <w:sz w:val="21"/>
          <w:szCs w:val="21"/>
          <w:highlight w:val="none"/>
        </w:rPr>
        <w:t>　</w:t>
      </w:r>
      <w:r>
        <w:rPr>
          <w:rFonts w:hint="eastAsia" w:ascii="宋体" w:hAnsi="宋体" w:eastAsia="宋体" w:cs="宋体"/>
          <w:color w:val="auto"/>
          <w:sz w:val="21"/>
          <w:szCs w:val="21"/>
          <w:highlight w:val="none"/>
        </w:rPr>
        <w:t>本合同一式四份，具有同等法律效力，监管部门、采购代理机构各一份，甲乙双方各一份（可根据需要另增加）。</w:t>
      </w:r>
    </w:p>
    <w:p w14:paraId="30A24521">
      <w:pPr>
        <w:pageBreakBefore w:val="0"/>
        <w:kinsoku/>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本合同甲乙双方签字盖章后生效。</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17"/>
      </w:tblGrid>
      <w:tr w14:paraId="0251A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7" w:hRule="atLeast"/>
        </w:trPr>
        <w:tc>
          <w:tcPr>
            <w:tcW w:w="4516" w:type="dxa"/>
            <w:vAlign w:val="center"/>
          </w:tcPr>
          <w:p w14:paraId="7B6FD0D7">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甲方（章）           </w:t>
            </w:r>
          </w:p>
          <w:p w14:paraId="6DB83075">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p>
          <w:p w14:paraId="2315B1ED">
            <w:pPr>
              <w:pageBreakBefore w:val="0"/>
              <w:kinsoku/>
              <w:overflowPunct/>
              <w:topLinePunct w:val="0"/>
              <w:bidi w:val="0"/>
              <w:snapToGrid w:val="0"/>
              <w:spacing w:line="360" w:lineRule="auto"/>
              <w:ind w:right="210" w:firstLine="945" w:firstLineChars="45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c>
          <w:tcPr>
            <w:tcW w:w="4517" w:type="dxa"/>
            <w:vAlign w:val="center"/>
          </w:tcPr>
          <w:p w14:paraId="2635FB99">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乙方（章）              </w:t>
            </w:r>
          </w:p>
          <w:p w14:paraId="3669417B">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p>
          <w:p w14:paraId="0630EB94">
            <w:pPr>
              <w:pageBreakBefore w:val="0"/>
              <w:kinsoku/>
              <w:overflowPunct/>
              <w:topLinePunct w:val="0"/>
              <w:bidi w:val="0"/>
              <w:snapToGrid w:val="0"/>
              <w:spacing w:line="360" w:lineRule="auto"/>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年   月   日</w:t>
            </w:r>
          </w:p>
        </w:tc>
      </w:tr>
      <w:tr w14:paraId="6BA31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516" w:type="dxa"/>
            <w:vAlign w:val="center"/>
          </w:tcPr>
          <w:p w14:paraId="2312BC17">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单位地址：</w:t>
            </w:r>
          </w:p>
        </w:tc>
        <w:tc>
          <w:tcPr>
            <w:tcW w:w="4517" w:type="dxa"/>
            <w:vAlign w:val="center"/>
          </w:tcPr>
          <w:p w14:paraId="68DCAE17">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单位地址：</w:t>
            </w:r>
          </w:p>
        </w:tc>
      </w:tr>
      <w:tr w14:paraId="470CB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4516" w:type="dxa"/>
            <w:vAlign w:val="center"/>
          </w:tcPr>
          <w:p w14:paraId="535AA005">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c>
          <w:tcPr>
            <w:tcW w:w="4517" w:type="dxa"/>
            <w:vAlign w:val="center"/>
          </w:tcPr>
          <w:p w14:paraId="23FD5CDE">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r>
      <w:tr w14:paraId="47BE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4516" w:type="dxa"/>
            <w:vAlign w:val="center"/>
          </w:tcPr>
          <w:p w14:paraId="6C0D9828">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委托代理人：</w:t>
            </w:r>
          </w:p>
        </w:tc>
        <w:tc>
          <w:tcPr>
            <w:tcW w:w="4517" w:type="dxa"/>
            <w:vAlign w:val="center"/>
          </w:tcPr>
          <w:p w14:paraId="6419E4E6">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委托代理人</w:t>
            </w:r>
          </w:p>
        </w:tc>
      </w:tr>
      <w:tr w14:paraId="3B51A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4516" w:type="dxa"/>
            <w:vAlign w:val="center"/>
          </w:tcPr>
          <w:p w14:paraId="5548282A">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4517" w:type="dxa"/>
            <w:vAlign w:val="center"/>
          </w:tcPr>
          <w:p w14:paraId="545CE493">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14:paraId="684E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4516" w:type="dxa"/>
            <w:vAlign w:val="center"/>
          </w:tcPr>
          <w:p w14:paraId="3B23480E">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p>
        </w:tc>
        <w:tc>
          <w:tcPr>
            <w:tcW w:w="4517" w:type="dxa"/>
            <w:vAlign w:val="center"/>
          </w:tcPr>
          <w:p w14:paraId="5896CC24">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p>
        </w:tc>
      </w:tr>
      <w:tr w14:paraId="576A9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4516" w:type="dxa"/>
            <w:vAlign w:val="center"/>
          </w:tcPr>
          <w:p w14:paraId="56C5008A">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c>
          <w:tcPr>
            <w:tcW w:w="4517" w:type="dxa"/>
            <w:vAlign w:val="center"/>
          </w:tcPr>
          <w:p w14:paraId="68AC80E8">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p>
        </w:tc>
      </w:tr>
      <w:tr w14:paraId="3CBA7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516" w:type="dxa"/>
            <w:vAlign w:val="center"/>
          </w:tcPr>
          <w:p w14:paraId="6FA218D7">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tc>
        <w:tc>
          <w:tcPr>
            <w:tcW w:w="4517" w:type="dxa"/>
            <w:vAlign w:val="center"/>
          </w:tcPr>
          <w:p w14:paraId="7C63BC4F">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tc>
      </w:tr>
      <w:tr w14:paraId="4E61E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4516" w:type="dxa"/>
            <w:vAlign w:val="center"/>
          </w:tcPr>
          <w:p w14:paraId="16A5F7E5">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邮政编码：</w:t>
            </w:r>
          </w:p>
        </w:tc>
        <w:tc>
          <w:tcPr>
            <w:tcW w:w="4517" w:type="dxa"/>
            <w:vAlign w:val="center"/>
          </w:tcPr>
          <w:p w14:paraId="6B2AB705">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邮政编码：</w:t>
            </w:r>
          </w:p>
        </w:tc>
      </w:tr>
      <w:tr w14:paraId="29480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trPr>
        <w:tc>
          <w:tcPr>
            <w:tcW w:w="9033" w:type="dxa"/>
            <w:gridSpan w:val="2"/>
            <w:vAlign w:val="top"/>
          </w:tcPr>
          <w:p w14:paraId="49F9D712">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经办人：</w:t>
            </w:r>
          </w:p>
          <w:p w14:paraId="71671868">
            <w:pPr>
              <w:pageBreakBefore w:val="0"/>
              <w:kinsoku/>
              <w:overflowPunct/>
              <w:topLinePunct w:val="0"/>
              <w:bidi w:val="0"/>
              <w:snapToGrid w:val="0"/>
              <w:spacing w:line="360" w:lineRule="auto"/>
              <w:ind w:firstLine="630" w:firstLineChars="30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14:paraId="17080AA2">
      <w:pPr>
        <w:pageBreakBefore w:val="0"/>
        <w:kinsoku/>
        <w:overflowPunct/>
        <w:topLinePunct w:val="0"/>
        <w:bidi w:val="0"/>
        <w:snapToGrid w:val="0"/>
        <w:spacing w:line="360" w:lineRule="auto"/>
        <w:ind w:left="420" w:hanging="420" w:hangingChars="200"/>
        <w:rPr>
          <w:rFonts w:hint="eastAsia" w:ascii="宋体" w:hAnsi="宋体" w:eastAsia="宋体" w:cs="宋体"/>
          <w:color w:val="auto"/>
          <w:sz w:val="21"/>
          <w:szCs w:val="21"/>
          <w:highlight w:val="none"/>
        </w:rPr>
      </w:pPr>
    </w:p>
    <w:p w14:paraId="754A7FFC">
      <w:pPr>
        <w:pageBreakBefore w:val="0"/>
        <w:tabs>
          <w:tab w:val="left" w:pos="3571"/>
        </w:tabs>
        <w:kinsoku/>
        <w:overflowPunct/>
        <w:topLinePunct w:val="0"/>
        <w:bidi w:val="0"/>
        <w:snapToGrid w:val="0"/>
        <w:spacing w:line="360" w:lineRule="auto"/>
        <w:jc w:val="left"/>
        <w:rPr>
          <w:rFonts w:hint="eastAsia" w:ascii="宋体" w:hAnsi="宋体" w:eastAsia="宋体" w:cs="宋体"/>
          <w:b/>
          <w:color w:val="auto"/>
          <w:sz w:val="21"/>
          <w:szCs w:val="21"/>
          <w:highlight w:val="none"/>
          <w:lang w:eastAsia="zh-CN"/>
        </w:rPr>
      </w:pPr>
    </w:p>
    <w:p w14:paraId="6A651C1E">
      <w:pPr>
        <w:pageBreakBefore w:val="0"/>
        <w:kinsoku/>
        <w:overflowPunct/>
        <w:topLinePunct w:val="0"/>
        <w:bidi w:val="0"/>
        <w:snapToGrid w:val="0"/>
        <w:spacing w:line="360" w:lineRule="auto"/>
        <w:jc w:val="center"/>
        <w:rPr>
          <w:rFonts w:hint="eastAsia" w:ascii="宋体" w:hAnsi="宋体" w:eastAsia="宋体" w:cs="宋体"/>
          <w:b/>
          <w:bCs w:val="0"/>
          <w:color w:val="auto"/>
          <w:sz w:val="36"/>
          <w:szCs w:val="36"/>
          <w:highlight w:val="none"/>
        </w:rPr>
      </w:pPr>
      <w:r>
        <w:rPr>
          <w:rFonts w:hint="eastAsia" w:ascii="宋体" w:hAnsi="宋体" w:eastAsia="宋体" w:cs="宋体"/>
          <w:b/>
          <w:bCs w:val="0"/>
          <w:color w:val="auto"/>
          <w:sz w:val="36"/>
          <w:szCs w:val="36"/>
          <w:highlight w:val="none"/>
        </w:rPr>
        <w:t>合 同 附 件</w:t>
      </w:r>
    </w:p>
    <w:p w14:paraId="2A622F6E">
      <w:pPr>
        <w:pageBreakBefore w:val="0"/>
        <w:kinsoku/>
        <w:overflowPunct/>
        <w:topLinePunct w:val="0"/>
        <w:bidi w:val="0"/>
        <w:snapToGrid w:val="0"/>
        <w:spacing w:line="360" w:lineRule="auto"/>
        <w:jc w:val="center"/>
        <w:rPr>
          <w:rFonts w:hint="eastAsia" w:ascii="宋体" w:hAnsi="宋体" w:eastAsia="宋体" w:cs="宋体"/>
          <w:b/>
          <w:color w:val="auto"/>
          <w:sz w:val="21"/>
          <w:szCs w:val="21"/>
          <w:highlight w:val="none"/>
        </w:rPr>
      </w:pPr>
    </w:p>
    <w:tbl>
      <w:tblPr>
        <w:tblStyle w:val="21"/>
        <w:tblW w:w="0" w:type="auto"/>
        <w:tblInd w:w="0" w:type="dxa"/>
        <w:tblLayout w:type="fixed"/>
        <w:tblCellMar>
          <w:top w:w="0" w:type="dxa"/>
          <w:left w:w="108" w:type="dxa"/>
          <w:bottom w:w="0" w:type="dxa"/>
          <w:right w:w="108" w:type="dxa"/>
        </w:tblCellMar>
      </w:tblPr>
      <w:tblGrid>
        <w:gridCol w:w="4623"/>
        <w:gridCol w:w="4665"/>
      </w:tblGrid>
      <w:tr w14:paraId="36777352">
        <w:trPr>
          <w:trHeight w:val="2260" w:hRule="atLeast"/>
        </w:trPr>
        <w:tc>
          <w:tcPr>
            <w:tcW w:w="9288" w:type="dxa"/>
            <w:gridSpan w:val="2"/>
            <w:tcBorders>
              <w:top w:val="single" w:color="auto" w:sz="4" w:space="0"/>
              <w:left w:val="single" w:color="auto" w:sz="4" w:space="0"/>
              <w:right w:val="single" w:color="auto" w:sz="4" w:space="0"/>
            </w:tcBorders>
            <w:vAlign w:val="top"/>
          </w:tcPr>
          <w:p w14:paraId="382AE885">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1、供应商承诺具体事项：</w:t>
            </w:r>
          </w:p>
        </w:tc>
      </w:tr>
      <w:tr w14:paraId="684EE8B7">
        <w:tblPrEx>
          <w:tblCellMar>
            <w:top w:w="0" w:type="dxa"/>
            <w:left w:w="108" w:type="dxa"/>
            <w:bottom w:w="0" w:type="dxa"/>
            <w:right w:w="108" w:type="dxa"/>
          </w:tblCellMar>
        </w:tblPrEx>
        <w:trPr>
          <w:trHeight w:val="2710" w:hRule="atLeast"/>
        </w:trPr>
        <w:tc>
          <w:tcPr>
            <w:tcW w:w="9288" w:type="dxa"/>
            <w:gridSpan w:val="2"/>
            <w:tcBorders>
              <w:top w:val="single" w:color="auto" w:sz="4" w:space="0"/>
              <w:left w:val="single" w:color="auto" w:sz="4" w:space="0"/>
              <w:right w:val="single" w:color="auto" w:sz="4" w:space="0"/>
            </w:tcBorders>
            <w:vAlign w:val="top"/>
          </w:tcPr>
          <w:p w14:paraId="36588446">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2、质保期责任：</w:t>
            </w:r>
          </w:p>
        </w:tc>
      </w:tr>
      <w:tr w14:paraId="137A28EA">
        <w:tblPrEx>
          <w:tblCellMar>
            <w:top w:w="0" w:type="dxa"/>
            <w:left w:w="108" w:type="dxa"/>
            <w:bottom w:w="0" w:type="dxa"/>
            <w:right w:w="108" w:type="dxa"/>
          </w:tblCellMar>
        </w:tblPrEx>
        <w:trPr>
          <w:trHeight w:val="1810" w:hRule="atLeast"/>
        </w:trPr>
        <w:tc>
          <w:tcPr>
            <w:tcW w:w="9288" w:type="dxa"/>
            <w:gridSpan w:val="2"/>
            <w:tcBorders>
              <w:top w:val="single" w:color="auto" w:sz="4" w:space="0"/>
              <w:left w:val="single" w:color="auto" w:sz="4" w:space="0"/>
              <w:right w:val="single" w:color="auto" w:sz="4" w:space="0"/>
            </w:tcBorders>
            <w:vAlign w:val="top"/>
          </w:tcPr>
          <w:p w14:paraId="1729DAB1">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3、其他具体事项：</w:t>
            </w:r>
          </w:p>
        </w:tc>
      </w:tr>
      <w:tr w14:paraId="700B2C41">
        <w:tblPrEx>
          <w:tblCellMar>
            <w:top w:w="0" w:type="dxa"/>
            <w:left w:w="108" w:type="dxa"/>
            <w:bottom w:w="0" w:type="dxa"/>
            <w:right w:w="108" w:type="dxa"/>
          </w:tblCellMar>
        </w:tblPrEx>
        <w:trPr>
          <w:trHeight w:val="2577" w:hRule="atLeast"/>
        </w:trPr>
        <w:tc>
          <w:tcPr>
            <w:tcW w:w="4623" w:type="dxa"/>
            <w:tcBorders>
              <w:top w:val="single" w:color="auto" w:sz="4" w:space="0"/>
              <w:left w:val="single" w:color="auto" w:sz="4" w:space="0"/>
              <w:bottom w:val="single" w:color="auto" w:sz="4" w:space="0"/>
              <w:right w:val="single" w:color="auto" w:sz="4" w:space="0"/>
            </w:tcBorders>
            <w:vAlign w:val="center"/>
          </w:tcPr>
          <w:p w14:paraId="0361FC2C">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甲方（章）</w:t>
            </w:r>
          </w:p>
          <w:p w14:paraId="5196A1C2">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51C85DC1">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40B21ACE">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458AFFE6">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65BB83C1">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02990FA7">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3F893297">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年   月   日 </w:t>
            </w:r>
          </w:p>
        </w:tc>
        <w:tc>
          <w:tcPr>
            <w:tcW w:w="4665" w:type="dxa"/>
            <w:tcBorders>
              <w:top w:val="single" w:color="auto" w:sz="4" w:space="0"/>
              <w:left w:val="single" w:color="auto" w:sz="4" w:space="0"/>
              <w:bottom w:val="single" w:color="auto" w:sz="4" w:space="0"/>
              <w:right w:val="single" w:color="auto" w:sz="4" w:space="0"/>
            </w:tcBorders>
            <w:vAlign w:val="center"/>
          </w:tcPr>
          <w:p w14:paraId="2C7194EA">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乙方（章）</w:t>
            </w:r>
          </w:p>
          <w:p w14:paraId="31A0E615">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675377E1">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19B5812E">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4FA7E212">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5B59BB98">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300A6600">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p>
          <w:p w14:paraId="53561C61">
            <w:pPr>
              <w:pageBreakBefore w:val="0"/>
              <w:kinsoku/>
              <w:overflowPunct/>
              <w:topLinePunct w:val="0"/>
              <w:bidi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年   月   日</w:t>
            </w:r>
          </w:p>
        </w:tc>
      </w:tr>
    </w:tbl>
    <w:p w14:paraId="5123B633">
      <w:pPr>
        <w:pageBreakBefore w:val="0"/>
        <w:kinsoku/>
        <w:overflowPunct/>
        <w:topLinePunct w:val="0"/>
        <w:bidi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注：填不下时可另加附页</w:t>
      </w:r>
    </w:p>
    <w:p w14:paraId="67E58F4D">
      <w:pPr>
        <w:pageBreakBefore w:val="0"/>
        <w:kinsoku/>
        <w:overflowPunct/>
        <w:topLinePunct w:val="0"/>
        <w:bidi w:val="0"/>
        <w:spacing w:line="360" w:lineRule="auto"/>
        <w:rPr>
          <w:rFonts w:hint="eastAsia" w:ascii="宋体" w:hAnsi="宋体" w:eastAsia="宋体" w:cs="宋体"/>
          <w:color w:val="auto"/>
          <w:sz w:val="21"/>
          <w:szCs w:val="21"/>
          <w:highlight w:val="none"/>
        </w:rPr>
      </w:pPr>
    </w:p>
    <w:p w14:paraId="168516E2">
      <w:pPr>
        <w:pStyle w:val="12"/>
        <w:pageBreakBefore w:val="0"/>
        <w:kinsoku/>
        <w:overflowPunct/>
        <w:topLinePunct w:val="0"/>
        <w:bidi w:val="0"/>
        <w:snapToGrid w:val="0"/>
        <w:spacing w:line="360" w:lineRule="auto"/>
        <w:jc w:val="center"/>
        <w:rPr>
          <w:rFonts w:hint="eastAsia" w:ascii="宋体" w:hAnsi="宋体" w:eastAsia="宋体" w:cs="宋体"/>
          <w:color w:val="auto"/>
          <w:sz w:val="21"/>
          <w:szCs w:val="21"/>
          <w:highlight w:val="none"/>
        </w:rPr>
      </w:pPr>
    </w:p>
    <w:p w14:paraId="5F33438A">
      <w:pPr>
        <w:rPr>
          <w:color w:val="auto"/>
          <w:highlight w:val="none"/>
        </w:rPr>
      </w:pPr>
    </w:p>
    <w:sectPr>
      <w:footerReference r:id="rId13" w:type="first"/>
      <w:footerReference r:id="rId12" w:type="default"/>
      <w:pgSz w:w="11906" w:h="16838"/>
      <w:pgMar w:top="1440" w:right="1440" w:bottom="1440" w:left="1587"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9533880-CC26-4E1B-9F0E-C029509A3FF0}"/>
  </w:font>
  <w:font w:name="黑体">
    <w:panose1 w:val="02010609060101010101"/>
    <w:charset w:val="86"/>
    <w:family w:val="auto"/>
    <w:pitch w:val="default"/>
    <w:sig w:usb0="800002BF" w:usb1="38CF7CFA" w:usb2="00000016" w:usb3="00000000" w:csb0="00040001" w:csb1="00000000"/>
    <w:embedRegular r:id="rId2" w:fontKey="{4583836D-D694-4B8C-A089-CD77D029B498}"/>
  </w:font>
  <w:font w:name="Courier New">
    <w:panose1 w:val="02070309020205020404"/>
    <w:charset w:val="01"/>
    <w:family w:val="modern"/>
    <w:pitch w:val="default"/>
    <w:sig w:usb0="E0002EFF" w:usb1="C0007843" w:usb2="00000009" w:usb3="00000000" w:csb0="400001FF" w:csb1="FFFF0000"/>
    <w:embedRegular r:id="rId3" w:fontKey="{2D22DD7A-71AC-4C70-A0E2-7CAF5016B2AB}"/>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A590C86A-EEBA-4505-95CD-C402E9BED014}"/>
  </w:font>
  <w:font w:name="金山简黑体">
    <w:altName w:val="黑体"/>
    <w:panose1 w:val="00000000000000000000"/>
    <w:charset w:val="86"/>
    <w:family w:val="roma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embedRegular r:id="rId5" w:fontKey="{96CAA428-2EFF-4366-B3DB-4BDDA132A33C}"/>
  </w:font>
  <w:font w:name="隶书">
    <w:panose1 w:val="02010509060101010101"/>
    <w:charset w:val="86"/>
    <w:family w:val="modern"/>
    <w:pitch w:val="default"/>
    <w:sig w:usb0="00000001" w:usb1="080E0000" w:usb2="00000000" w:usb3="00000000" w:csb0="00040000" w:csb1="00000000"/>
    <w:embedRegular r:id="rId6" w:fontKey="{97041E9F-C55A-40A4-9C93-DF02271E4EF8}"/>
  </w:font>
  <w:font w:name="微软雅黑">
    <w:panose1 w:val="020B0503020204020204"/>
    <w:charset w:val="86"/>
    <w:family w:val="auto"/>
    <w:pitch w:val="default"/>
    <w:sig w:usb0="80000287" w:usb1="2ACF3C50" w:usb2="00000016" w:usb3="00000000" w:csb0="0004001F" w:csb1="00000000"/>
    <w:embedRegular r:id="rId7" w:fontKey="{7B322FB2-6CEC-4A92-A319-2B275A5D20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287DA">
    <w:pPr>
      <w:pStyle w:val="1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E5BE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Fonts w:hint="eastAsia"/>
      </w:rPr>
      <w:t>６</w:t>
    </w:r>
    <w:r>
      <w:fldChar w:fldCharType="end"/>
    </w:r>
  </w:p>
  <w:p w14:paraId="2657CA8A">
    <w:pPr>
      <w:pStyle w:val="1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B2411">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9FD285">
                          <w:pPr>
                            <w:pStyle w:val="1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719FD285">
                    <w:pPr>
                      <w:pStyle w:val="1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27262">
    <w:pPr>
      <w:pStyle w:val="13"/>
      <w:tabs>
        <w:tab w:val="center" w:pos="4439"/>
        <w:tab w:val="clear" w:pos="4153"/>
      </w:tabs>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3AFF45">
                          <w:pPr>
                            <w:pStyle w:val="13"/>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5C3AFF45">
                    <w:pPr>
                      <w:pStyle w:val="13"/>
                    </w:pPr>
                    <w:r>
                      <w:fldChar w:fldCharType="begin"/>
                    </w:r>
                    <w:r>
                      <w:instrText xml:space="preserve"> PAGE  \* MERGEFORMAT </w:instrText>
                    </w:r>
                    <w:r>
                      <w:fldChar w:fldCharType="separate"/>
                    </w:r>
                    <w:r>
                      <w:t>2</w:t>
                    </w:r>
                    <w:r>
                      <w:fldChar w:fldCharType="end"/>
                    </w:r>
                  </w:p>
                </w:txbxContent>
              </v:textbox>
            </v:shape>
          </w:pict>
        </mc:Fallback>
      </mc:AlternateContent>
    </w:r>
  </w:p>
  <w:p w14:paraId="3A7ACDC1">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05A5A">
    <w:pPr>
      <w:pStyle w:val="13"/>
      <w:tabs>
        <w:tab w:val="center" w:pos="4439"/>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3F62B0"/>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383F62B0"/>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01096">
    <w:pPr>
      <w:pStyle w:val="13"/>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19143A">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19143A">
                    <w:pPr>
                      <w:pStyle w:val="13"/>
                    </w:pPr>
                    <w:r>
                      <w:fldChar w:fldCharType="begin"/>
                    </w:r>
                    <w:r>
                      <w:instrText xml:space="preserve"> PAGE  \* MERGEFORMAT </w:instrText>
                    </w:r>
                    <w:r>
                      <w:fldChar w:fldCharType="separate"/>
                    </w:r>
                    <w:r>
                      <w:t>2</w:t>
                    </w:r>
                    <w:r>
                      <w:fldChar w:fldCharType="end"/>
                    </w:r>
                  </w:p>
                </w:txbxContent>
              </v:textbox>
            </v:shape>
          </w:pict>
        </mc:Fallback>
      </mc:AlternateContent>
    </w:r>
  </w:p>
  <w:p w14:paraId="6CD9405A">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167AA">
    <w:pPr>
      <w:pStyle w:val="1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098FA">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F6098FA">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66D5F">
    <w:pPr>
      <w:spacing w:before="240" w:beforeLines="100" w:line="600" w:lineRule="exact"/>
      <w:rPr>
        <w:rFonts w:ascii="仿宋_GB2312" w:eastAsia="仿宋_GB2312"/>
        <w:sz w:val="24"/>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11229">
    <w:pPr>
      <w:pStyle w:val="14"/>
      <w:pBdr>
        <w:bottom w:val="none" w:color="auto" w:sz="0" w:space="0"/>
      </w:pBdr>
    </w:pPr>
  </w:p>
  <w:p w14:paraId="4EB2A9A0">
    <w:pPr>
      <w:pStyle w:val="14"/>
      <w:pBdr>
        <w:bottom w:val="none" w:color="auto" w:sz="0" w:space="0"/>
      </w:pBdr>
    </w:pPr>
  </w:p>
  <w:p w14:paraId="37224D58">
    <w:pPr>
      <w:pStyle w:val="1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505B8">
    <w:pPr>
      <w:pStyle w:val="14"/>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D0E98">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D08C0"/>
    <w:multiLevelType w:val="singleLevel"/>
    <w:tmpl w:val="886D08C0"/>
    <w:lvl w:ilvl="0" w:tentative="0">
      <w:start w:val="4"/>
      <w:numFmt w:val="decimal"/>
      <w:suff w:val="nothing"/>
      <w:lvlText w:val="（%1）"/>
      <w:lvlJc w:val="left"/>
    </w:lvl>
  </w:abstractNum>
  <w:abstractNum w:abstractNumId="1">
    <w:nsid w:val="89FEC8D4"/>
    <w:multiLevelType w:val="singleLevel"/>
    <w:tmpl w:val="89FEC8D4"/>
    <w:lvl w:ilvl="0" w:tentative="0">
      <w:start w:val="1"/>
      <w:numFmt w:val="chineseCounting"/>
      <w:suff w:val="space"/>
      <w:lvlText w:val="第%1章"/>
      <w:lvlJc w:val="left"/>
      <w:rPr>
        <w:rFonts w:hint="eastAsia"/>
      </w:rPr>
    </w:lvl>
  </w:abstractNum>
  <w:abstractNum w:abstractNumId="2">
    <w:nsid w:val="EB8CEB78"/>
    <w:multiLevelType w:val="singleLevel"/>
    <w:tmpl w:val="EB8CEB78"/>
    <w:lvl w:ilvl="0" w:tentative="0">
      <w:start w:val="3"/>
      <w:numFmt w:val="chineseCounting"/>
      <w:suff w:val="space"/>
      <w:lvlText w:val="第%1章"/>
      <w:lvlJc w:val="left"/>
      <w:rPr>
        <w:rFonts w:hint="eastAsia"/>
      </w:rPr>
    </w:lvl>
  </w:abstractNum>
  <w:abstractNum w:abstractNumId="3">
    <w:nsid w:val="EF0BEB38"/>
    <w:multiLevelType w:val="singleLevel"/>
    <w:tmpl w:val="EF0BEB38"/>
    <w:lvl w:ilvl="0" w:tentative="0">
      <w:start w:val="2"/>
      <w:numFmt w:val="decimal"/>
      <w:lvlText w:val="%1."/>
      <w:lvlJc w:val="left"/>
      <w:pPr>
        <w:tabs>
          <w:tab w:val="left" w:pos="312"/>
        </w:tabs>
      </w:pPr>
    </w:lvl>
  </w:abstractNum>
  <w:abstractNum w:abstractNumId="4">
    <w:nsid w:val="F36836E1"/>
    <w:multiLevelType w:val="singleLevel"/>
    <w:tmpl w:val="F36836E1"/>
    <w:lvl w:ilvl="0" w:tentative="0">
      <w:start w:val="7"/>
      <w:numFmt w:val="chineseCounting"/>
      <w:suff w:val="nothing"/>
      <w:lvlText w:val="%1、"/>
      <w:lvlJc w:val="left"/>
      <w:rPr>
        <w:rFonts w:hint="eastAsia"/>
      </w:rPr>
    </w:lvl>
  </w:abstractNum>
  <w:abstractNum w:abstractNumId="5">
    <w:nsid w:val="0053208E"/>
    <w:multiLevelType w:val="singleLevel"/>
    <w:tmpl w:val="0053208E"/>
    <w:lvl w:ilvl="0" w:tentative="0">
      <w:start w:val="1"/>
      <w:numFmt w:val="chineseCounting"/>
      <w:suff w:val="nothing"/>
      <w:lvlText w:val="%1、"/>
      <w:lvlJc w:val="left"/>
      <w:pPr>
        <w:ind w:left="0" w:firstLine="0"/>
      </w:pPr>
    </w:lvl>
  </w:abstractNum>
  <w:abstractNum w:abstractNumId="6">
    <w:nsid w:val="345D7CA9"/>
    <w:multiLevelType w:val="singleLevel"/>
    <w:tmpl w:val="345D7CA9"/>
    <w:lvl w:ilvl="0" w:tentative="0">
      <w:start w:val="1"/>
      <w:numFmt w:val="decimal"/>
      <w:pStyle w:val="5"/>
      <w:lvlText w:val="%1."/>
      <w:lvlJc w:val="left"/>
      <w:pPr>
        <w:tabs>
          <w:tab w:val="left" w:pos="360"/>
        </w:tabs>
        <w:ind w:left="360" w:hanging="360"/>
      </w:pPr>
    </w:lvl>
  </w:abstractNum>
  <w:abstractNum w:abstractNumId="7">
    <w:nsid w:val="4B083EA7"/>
    <w:multiLevelType w:val="multilevel"/>
    <w:tmpl w:val="4B083EA7"/>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6625210B"/>
    <w:multiLevelType w:val="singleLevel"/>
    <w:tmpl w:val="6625210B"/>
    <w:lvl w:ilvl="0" w:tentative="0">
      <w:start w:val="1"/>
      <w:numFmt w:val="decimal"/>
      <w:lvlText w:val="(%1)"/>
      <w:lvlJc w:val="left"/>
      <w:pPr>
        <w:ind w:left="425" w:hanging="425"/>
      </w:pPr>
      <w:rPr>
        <w:rFonts w:hint="default"/>
      </w:rPr>
    </w:lvl>
  </w:abstractNum>
  <w:num w:numId="1">
    <w:abstractNumId w:val="6"/>
  </w:num>
  <w:num w:numId="2">
    <w:abstractNumId w:val="1"/>
  </w:num>
  <w:num w:numId="3">
    <w:abstractNumId w:val="3"/>
  </w:num>
  <w:num w:numId="4">
    <w:abstractNumId w:val="2"/>
  </w:num>
  <w:num w:numId="5">
    <w:abstractNumId w:val="5"/>
  </w:num>
  <w:num w:numId="6">
    <w:abstractNumId w:val="8"/>
  </w:num>
  <w:num w:numId="7">
    <w:abstractNumId w:val="4"/>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endnotePr>
    <w:numFmt w:val="decimal"/>
  </w:endnotePr>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4167"/>
    <w:rsid w:val="03AE3AF3"/>
    <w:rsid w:val="0C547201"/>
    <w:rsid w:val="11082369"/>
    <w:rsid w:val="16D276A1"/>
    <w:rsid w:val="190D49C0"/>
    <w:rsid w:val="236751A2"/>
    <w:rsid w:val="24593E27"/>
    <w:rsid w:val="259049AF"/>
    <w:rsid w:val="275C3323"/>
    <w:rsid w:val="29FA4AED"/>
    <w:rsid w:val="2C3F696D"/>
    <w:rsid w:val="31D0231B"/>
    <w:rsid w:val="31D67BED"/>
    <w:rsid w:val="3C0D7DBB"/>
    <w:rsid w:val="3CE358B4"/>
    <w:rsid w:val="3DDA2813"/>
    <w:rsid w:val="415A5160"/>
    <w:rsid w:val="4D491763"/>
    <w:rsid w:val="524A3E00"/>
    <w:rsid w:val="55012924"/>
    <w:rsid w:val="596B7D34"/>
    <w:rsid w:val="5A490FF5"/>
    <w:rsid w:val="5ADB2B3B"/>
    <w:rsid w:val="61FE2D85"/>
    <w:rsid w:val="62B74145"/>
    <w:rsid w:val="6BC32F5F"/>
    <w:rsid w:val="703025E3"/>
    <w:rsid w:val="71805A7F"/>
    <w:rsid w:val="731B0B7A"/>
    <w:rsid w:val="769D2054"/>
    <w:rsid w:val="78101D0A"/>
    <w:rsid w:val="783568F8"/>
    <w:rsid w:val="79F60ED5"/>
    <w:rsid w:val="7C2D4615"/>
    <w:rsid w:val="7F082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4">
    <w:name w:val="heading 4"/>
    <w:basedOn w:val="1"/>
    <w:next w:val="1"/>
    <w:qFormat/>
    <w:uiPriority w:val="9"/>
    <w:pPr>
      <w:ind w:firstLine="680"/>
      <w:outlineLvl w:val="3"/>
    </w:pPr>
    <w:rPr>
      <w:rFonts w:ascii="宋体"/>
      <w:sz w:val="28"/>
      <w:szCs w:val="2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5">
    <w:name w:val="List Number"/>
    <w:basedOn w:val="1"/>
    <w:qFormat/>
    <w:uiPriority w:val="0"/>
    <w:pPr>
      <w:numPr>
        <w:ilvl w:val="0"/>
        <w:numId w:val="1"/>
      </w:numPr>
    </w:pPr>
  </w:style>
  <w:style w:type="paragraph" w:styleId="6">
    <w:name w:val="Normal Indent"/>
    <w:basedOn w:val="1"/>
    <w:qFormat/>
    <w:uiPriority w:val="0"/>
    <w:pPr>
      <w:ind w:firstLine="420"/>
    </w:pPr>
    <w:rPr>
      <w:szCs w:val="20"/>
    </w:rPr>
  </w:style>
  <w:style w:type="paragraph" w:styleId="7">
    <w:name w:val="annotation text"/>
    <w:basedOn w:val="1"/>
    <w:link w:val="31"/>
    <w:qFormat/>
    <w:uiPriority w:val="0"/>
    <w:pPr>
      <w:jc w:val="left"/>
    </w:pPr>
  </w:style>
  <w:style w:type="paragraph" w:styleId="8">
    <w:name w:val="Body Text 3"/>
    <w:basedOn w:val="1"/>
    <w:unhideWhenUsed/>
    <w:qFormat/>
    <w:uiPriority w:val="99"/>
    <w:pPr>
      <w:spacing w:after="120"/>
    </w:pPr>
    <w:rPr>
      <w:sz w:val="16"/>
      <w:szCs w:val="16"/>
    </w:rPr>
  </w:style>
  <w:style w:type="paragraph" w:styleId="9">
    <w:name w:val="Body Text"/>
    <w:basedOn w:val="1"/>
    <w:next w:val="1"/>
    <w:unhideWhenUsed/>
    <w:qFormat/>
    <w:uiPriority w:val="0"/>
    <w:pPr>
      <w:spacing w:after="120"/>
    </w:pPr>
  </w:style>
  <w:style w:type="paragraph" w:styleId="10">
    <w:name w:val="Body Text Indent"/>
    <w:basedOn w:val="1"/>
    <w:qFormat/>
    <w:uiPriority w:val="0"/>
    <w:pPr>
      <w:ind w:firstLine="830" w:firstLineChars="352"/>
    </w:pPr>
    <w:rPr>
      <w:rFonts w:ascii="仿宋_GB2312" w:eastAsia="仿宋_GB2312"/>
      <w:kern w:val="0"/>
      <w:sz w:val="32"/>
      <w:szCs w:val="20"/>
    </w:rPr>
  </w:style>
  <w:style w:type="paragraph" w:styleId="11">
    <w:name w:val="List 2"/>
    <w:basedOn w:val="1"/>
    <w:unhideWhenUsed/>
    <w:qFormat/>
    <w:uiPriority w:val="99"/>
    <w:pPr>
      <w:ind w:left="100" w:leftChars="200" w:hanging="200" w:hangingChars="200"/>
      <w:contextualSpacing/>
    </w:pPr>
  </w:style>
  <w:style w:type="paragraph" w:styleId="12">
    <w:name w:val="Plain Text"/>
    <w:basedOn w:val="1"/>
    <w:next w:val="4"/>
    <w:qFormat/>
    <w:uiPriority w:val="0"/>
    <w:rPr>
      <w:rFonts w:ascii="宋体" w:hAnsi="Courier New"/>
      <w:kern w:val="0"/>
      <w:sz w:val="20"/>
      <w:szCs w:val="21"/>
    </w:rPr>
  </w:style>
  <w:style w:type="paragraph" w:styleId="13">
    <w:name w:val="footer"/>
    <w:basedOn w:val="1"/>
    <w:unhideWhenUsed/>
    <w:qFormat/>
    <w:uiPriority w:val="99"/>
    <w:pPr>
      <w:tabs>
        <w:tab w:val="center" w:pos="4153"/>
        <w:tab w:val="right" w:pos="8306"/>
      </w:tabs>
      <w:snapToGrid w:val="0"/>
      <w:jc w:val="left"/>
    </w:pPr>
    <w:rPr>
      <w:kern w:val="0"/>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toc 1"/>
    <w:basedOn w:val="1"/>
    <w:next w:val="1"/>
    <w:qFormat/>
    <w:uiPriority w:val="0"/>
    <w:pPr>
      <w:tabs>
        <w:tab w:val="right" w:leader="dot" w:pos="9060"/>
      </w:tabs>
      <w:spacing w:before="120" w:after="120"/>
      <w:jc w:val="center"/>
    </w:pPr>
    <w:rPr>
      <w:rFonts w:ascii="宋体" w:hAnsi="宋体"/>
      <w:caps/>
      <w:color w:val="000000"/>
      <w:kern w:val="0"/>
      <w:szCs w:val="21"/>
    </w:rPr>
  </w:style>
  <w:style w:type="paragraph" w:styleId="16">
    <w:name w:val="toc 2"/>
    <w:basedOn w:val="1"/>
    <w:next w:val="1"/>
    <w:unhideWhenUsed/>
    <w:qFormat/>
    <w:uiPriority w:val="39"/>
    <w:pPr>
      <w:tabs>
        <w:tab w:val="right" w:leader="dot" w:pos="8296"/>
      </w:tabs>
      <w:ind w:left="420" w:leftChars="200"/>
    </w:pPr>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1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styleId="19">
    <w:name w:val="annotation subject"/>
    <w:basedOn w:val="7"/>
    <w:next w:val="7"/>
    <w:link w:val="32"/>
    <w:qFormat/>
    <w:uiPriority w:val="0"/>
    <w:rPr>
      <w:b/>
      <w:bCs/>
    </w:rPr>
  </w:style>
  <w:style w:type="paragraph" w:styleId="20">
    <w:name w:val="Body Text First Indent 2"/>
    <w:basedOn w:val="10"/>
    <w:qFormat/>
    <w:uiPriority w:val="0"/>
    <w:pPr>
      <w:spacing w:after="120"/>
      <w:ind w:left="420" w:leftChars="200" w:firstLine="420" w:firstLineChars="200"/>
    </w:pPr>
    <w:rPr>
      <w:rFonts w:ascii="Times New Roman" w:eastAsia="宋体"/>
      <w:szCs w:val="24"/>
    </w:rPr>
  </w:style>
  <w:style w:type="character" w:styleId="23">
    <w:name w:val="Strong"/>
    <w:basedOn w:val="22"/>
    <w:qFormat/>
    <w:uiPriority w:val="22"/>
    <w:rPr>
      <w:b/>
      <w:bCs/>
    </w:rPr>
  </w:style>
  <w:style w:type="character" w:styleId="24">
    <w:name w:val="page number"/>
    <w:basedOn w:val="22"/>
    <w:qFormat/>
    <w:uiPriority w:val="99"/>
    <w:rPr>
      <w:rFonts w:cs="Times New Roman"/>
    </w:rPr>
  </w:style>
  <w:style w:type="character" w:styleId="25">
    <w:name w:val="Hyperlink"/>
    <w:basedOn w:val="22"/>
    <w:unhideWhenUsed/>
    <w:qFormat/>
    <w:uiPriority w:val="99"/>
    <w:rPr>
      <w:color w:val="0000FF"/>
      <w:u w:val="single"/>
    </w:rPr>
  </w:style>
  <w:style w:type="character" w:styleId="26">
    <w:name w:val="annotation reference"/>
    <w:basedOn w:val="22"/>
    <w:qFormat/>
    <w:uiPriority w:val="0"/>
    <w:rPr>
      <w:sz w:val="21"/>
      <w:szCs w:val="21"/>
    </w:rPr>
  </w:style>
  <w:style w:type="paragraph" w:customStyle="1" w:styleId="27">
    <w:name w:val="正文2"/>
    <w:next w:val="1"/>
    <w:qFormat/>
    <w:uiPriority w:val="0"/>
    <w:pPr>
      <w:widowControl w:val="0"/>
      <w:suppressAutoHyphens/>
      <w:jc w:val="both"/>
    </w:pPr>
    <w:rPr>
      <w:rFonts w:ascii="Calibri" w:hAnsi="Calibri" w:eastAsia="宋体" w:cs="Times New Roman"/>
      <w:kern w:val="2"/>
      <w:sz w:val="21"/>
      <w:szCs w:val="24"/>
      <w:lang w:val="en-US" w:eastAsia="zh-CN" w:bidi="ar-SA"/>
    </w:rPr>
  </w:style>
  <w:style w:type="paragraph" w:customStyle="1" w:styleId="28">
    <w:name w:val="List Paragraph"/>
    <w:basedOn w:val="1"/>
    <w:qFormat/>
    <w:uiPriority w:val="34"/>
    <w:pPr>
      <w:ind w:firstLine="420" w:firstLineChars="200"/>
    </w:pPr>
  </w:style>
  <w:style w:type="paragraph" w:customStyle="1" w:styleId="29">
    <w:name w:val="Table Paragraph"/>
    <w:basedOn w:val="1"/>
    <w:qFormat/>
    <w:uiPriority w:val="1"/>
    <w:pPr>
      <w:jc w:val="left"/>
    </w:pPr>
    <w:rPr>
      <w:rFonts w:ascii="Calibri" w:hAnsi="Calibri"/>
      <w:kern w:val="0"/>
      <w:sz w:val="22"/>
      <w:szCs w:val="22"/>
      <w:lang w:eastAsia="en-US"/>
    </w:rPr>
  </w:style>
  <w:style w:type="paragraph" w:customStyle="1" w:styleId="30">
    <w:name w:val="表格文字"/>
    <w:basedOn w:val="10"/>
    <w:qFormat/>
    <w:uiPriority w:val="0"/>
    <w:pPr>
      <w:jc w:val="left"/>
    </w:pPr>
    <w:rPr>
      <w:bCs/>
      <w:spacing w:val="10"/>
      <w:sz w:val="24"/>
    </w:rPr>
  </w:style>
  <w:style w:type="character" w:customStyle="1" w:styleId="31">
    <w:name w:val="批注文字 字符"/>
    <w:basedOn w:val="22"/>
    <w:link w:val="7"/>
    <w:qFormat/>
    <w:uiPriority w:val="0"/>
    <w:rPr>
      <w:rFonts w:ascii="Times New Roman" w:hAnsi="Times New Roman" w:eastAsia="宋体" w:cs="Times New Roman"/>
      <w:kern w:val="2"/>
      <w:sz w:val="21"/>
      <w:szCs w:val="24"/>
    </w:rPr>
  </w:style>
  <w:style w:type="character" w:customStyle="1" w:styleId="32">
    <w:name w:val="批注主题 字符"/>
    <w:basedOn w:val="31"/>
    <w:link w:val="19"/>
    <w:qFormat/>
    <w:uiPriority w:val="0"/>
    <w:rPr>
      <w:rFonts w:ascii="Times New Roman" w:hAnsi="Times New Roman" w:eastAsia="宋体" w:cs="Times New Roman"/>
      <w:b/>
      <w:bCs/>
      <w:kern w:val="2"/>
      <w:sz w:val="21"/>
      <w:szCs w:val="24"/>
    </w:rPr>
  </w:style>
  <w:style w:type="paragraph" w:customStyle="1" w:styleId="33">
    <w:name w:val="Normal_0"/>
    <w:qFormat/>
    <w:uiPriority w:val="0"/>
    <w:rPr>
      <w:rFonts w:ascii="Times New Roman" w:hAnsi="Times New Roman" w:eastAsia="Times New Roman" w:cs="Times New Roman"/>
      <w:sz w:val="24"/>
      <w:szCs w:val="24"/>
      <w:lang w:bidi="ar-SA"/>
    </w:rPr>
  </w:style>
  <w:style w:type="character" w:customStyle="1" w:styleId="34">
    <w:name w:val="NormalCharacter"/>
    <w:qFormat/>
    <w:uiPriority w:val="0"/>
  </w:style>
  <w:style w:type="paragraph" w:customStyle="1" w:styleId="35">
    <w:name w:val="正文文本1"/>
    <w:basedOn w:val="36"/>
    <w:next w:val="36"/>
    <w:qFormat/>
    <w:uiPriority w:val="0"/>
    <w:rPr>
      <w:rFonts w:ascii="金山简黑体" w:hAnsi="金山简黑体" w:eastAsia="金山简黑体"/>
      <w:b/>
      <w:spacing w:val="-8"/>
      <w:sz w:val="44"/>
      <w:szCs w:val="20"/>
    </w:rPr>
  </w:style>
  <w:style w:type="paragraph" w:customStyle="1" w:styleId="36">
    <w:name w:val="正文1"/>
    <w:next w:val="35"/>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75</Pages>
  <Words>1861</Words>
  <Characters>2081</Characters>
  <Lines>378</Lines>
  <Paragraphs>106</Paragraphs>
  <TotalTime>33</TotalTime>
  <ScaleCrop>false</ScaleCrop>
  <LinksUpToDate>false</LinksUpToDate>
  <CharactersWithSpaces>2153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2024-08-02T18:00:00Z</dcterms:created>
  <dc:creator>吴先森</dc:creator>
  <cp:lastModifiedBy>WPS_1602497377</cp:lastModifiedBy>
  <cp:lastPrinted>2025-06-16T03:08:00Z</cp:lastPrinted>
  <dcterms:modified xsi:type="dcterms:W3CDTF">2025-06-17T01:39:38Z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946E9750D2964E769F66FE69E3738411_13</vt:lpwstr>
  </property>
  <property fmtid="{D5CDD505-2E9C-101B-9397-08002B2CF9AE}" pid="4" name="KSOTemplateDocerSaveRecord">
    <vt:lpwstr>eyJoZGlkIjoiMGZiM2Q4ODdkZTU3MjQ0NWI4Y2JlNjJhNWEwMWU1NGYiLCJ1c2VySWQiOiIxMTMwNTMyMTQ1In0=</vt:lpwstr>
  </property>
</Properties>
</file>